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15 — Kwantitatief II: Monte Carlo-simulatie</w:t>
      </w:r>
    </w:p>
    <w:p>
      <w:pPr>
        <w:spacing w:before="600"/>
        <w:jc w:val="center"/>
      </w:pPr>
      <w:r>
        <w:rPr>
          <w:rFonts w:ascii="Calibri" w:cs="Calibri" w:eastAsia="Calibri" w:hAnsi="Calibri"/>
          <w:b/>
          <w:bCs/>
          <w:color w:val="1B2A4A"/>
          <w:sz w:val="24"/>
          <w:szCs w:val="24"/>
        </w:rPr>
        <w:t xml:space="preserve">Niveau 2 — Professional</w:t>
      </w:r>
    </w:p>
    <w:p>
      <w:pPr>
        <w:spacing w:before="200"/>
        <w:jc w:val="center"/>
      </w:pPr>
      <w:r>
        <w:rPr>
          <w:rFonts w:ascii="Calibri" w:cs="Calibri" w:eastAsia="Calibri" w:hAnsi="Calibri"/>
          <w:i/>
          <w:iCs/>
          <w:color w:val="D99A3D"/>
          <w:sz w:val="24"/>
          <w:szCs w:val="24"/>
        </w:rPr>
        <w:t xml:space="preserve">Docentenhandleiding (twee dagdelen)</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15 — Docentenhandleiding</w:t>
      </w:r>
    </w:p>
    <w:p>
      <w:pPr>
        <w:pStyle w:val="Heading2"/>
        <w:spacing w:after="160" w:before="360"/>
      </w:pPr>
      <w:r>
        <w:rPr>
          <w:rFonts w:ascii="Calibri" w:cs="Calibri" w:eastAsia="Calibri" w:hAnsi="Calibri"/>
          <w:b/>
          <w:bCs/>
          <w:color w:val="2C5AA0"/>
          <w:sz w:val="26"/>
          <w:szCs w:val="26"/>
        </w:rPr>
        <w:t xml:space="preserve">Positie van dit deel</w:t>
      </w:r>
    </w:p>
    <w:p>
      <w:pPr>
        <w:spacing w:after="180" w:line="300"/>
        <w:jc w:val="both"/>
      </w:pPr>
      <w:r>
        <w:rPr>
          <w:rFonts w:ascii="Calibri" w:cs="Calibri" w:eastAsia="Calibri" w:hAnsi="Calibri"/>
          <w:color w:val="1A1A1A"/>
          <w:sz w:val="21"/>
          <w:szCs w:val="21"/>
        </w:rPr>
        <w:t xml:space="preserve">Dit is, samen met deel 19, een van de twee tweedagdelen-delen van niveau 2 — en het zwaarste qua technische inhoud van de hele cursus tot dusver. De opzet is bewust hands-on (gebruikersverzoek: “hands-on met echte simulatietool”), wat betekent dat dit deel niet zonder laptops en een werkende Python-omgeving (of het Excel-alternatief uit de Toolbijlage) gegeven kan worden.</w:t>
      </w:r>
    </w:p>
    <w:p>
      <w:pPr>
        <w:spacing w:after="180" w:line="300"/>
        <w:jc w:val="both"/>
      </w:pPr>
      <w:r>
        <w:rPr>
          <w:rFonts w:ascii="Calibri" w:cs="Calibri" w:eastAsia="Calibri" w:hAnsi="Calibri"/>
          <w:color w:val="1A1A1A"/>
          <w:sz w:val="21"/>
          <w:szCs w:val="21"/>
        </w:rPr>
        <w:t xml:space="preserve">Bereid dit deel logistiek ruim van tevoren voor: controleer of deelnemers vooraf Python met numpy kunnen installeren, of bied een cloud-omgeving (bijvoorbeeld een voorgeconfigureerde Jupyter-notebook) aan om installatieproblemen op de dag zelf te vermijden. Niets doodt de energie van een hands-on sessie sneller dan drie kwartier besteden aan technische installatieproblemen.</w:t>
      </w:r>
    </w:p>
    <w:p>
      <w:pPr>
        <w:pStyle w:val="Heading2"/>
        <w:spacing w:after="160" w:before="360"/>
      </w:pPr>
      <w:r>
        <w:rPr>
          <w:rFonts w:ascii="Calibri" w:cs="Calibri" w:eastAsia="Calibri" w:hAnsi="Calibri"/>
          <w:b/>
          <w:bCs/>
          <w:color w:val="2C5AA0"/>
          <w:sz w:val="26"/>
          <w:szCs w:val="26"/>
        </w:rPr>
        <w:t xml:space="preserve">Leerdoelen</w:t>
      </w:r>
    </w:p>
    <w:p>
      <w:pPr>
        <w:pStyle w:val="ListParagraph"/>
        <w:numPr>
          <w:ilvl w:val="0"/>
          <w:numId w:val="2"/>
        </w:numPr>
        <w:spacing w:after="100" w:line="280"/>
      </w:pPr>
      <w:r>
        <w:rPr>
          <w:rFonts w:ascii="Calibri" w:cs="Calibri" w:eastAsia="Calibri" w:hAnsi="Calibri"/>
          <w:color w:val="1A1A1A"/>
          <w:sz w:val="21"/>
          <w:szCs w:val="21"/>
        </w:rPr>
        <w:t xml:space="preserve">uitleggen wat Monte Carlo-simulatie doet en waarom het meer informatie oplevert dan een enkele EMV-berekening of drie-puntsschatting</w:t>
      </w:r>
    </w:p>
    <w:p>
      <w:pPr>
        <w:pStyle w:val="ListParagraph"/>
        <w:numPr>
          <w:ilvl w:val="0"/>
          <w:numId w:val="2"/>
        </w:numPr>
        <w:spacing w:after="100" w:line="280"/>
      </w:pPr>
      <w:r>
        <w:rPr>
          <w:rFonts w:ascii="Calibri" w:cs="Calibri" w:eastAsia="Calibri" w:hAnsi="Calibri"/>
          <w:color w:val="1A1A1A"/>
          <w:sz w:val="21"/>
          <w:szCs w:val="21"/>
        </w:rPr>
        <w:t xml:space="preserve">een eenvoudige Monte Carlo-simulatie in Python (met begeleiding) uitvoeren en aanpassen</w:t>
      </w:r>
    </w:p>
    <w:p>
      <w:pPr>
        <w:pStyle w:val="ListParagraph"/>
        <w:numPr>
          <w:ilvl w:val="0"/>
          <w:numId w:val="2"/>
        </w:numPr>
        <w:spacing w:after="100" w:line="280"/>
      </w:pPr>
      <w:r>
        <w:rPr>
          <w:rFonts w:ascii="Calibri" w:cs="Calibri" w:eastAsia="Calibri" w:hAnsi="Calibri"/>
          <w:color w:val="1A1A1A"/>
          <w:sz w:val="21"/>
          <w:szCs w:val="21"/>
        </w:rPr>
        <w:t xml:space="preserve">P10/P50/P90 correct interpreteren, inclusief wat deze waarden niet zeggen</w:t>
      </w:r>
    </w:p>
    <w:p>
      <w:pPr>
        <w:pStyle w:val="ListParagraph"/>
        <w:numPr>
          <w:ilvl w:val="0"/>
          <w:numId w:val="2"/>
        </w:numPr>
        <w:spacing w:after="100" w:line="280"/>
      </w:pPr>
      <w:r>
        <w:rPr>
          <w:rFonts w:ascii="Calibri" w:cs="Calibri" w:eastAsia="Calibri" w:hAnsi="Calibri"/>
          <w:color w:val="1A1A1A"/>
          <w:sz w:val="21"/>
          <w:szCs w:val="21"/>
        </w:rPr>
        <w:t xml:space="preserve">het effect van correlatie tussen risico's op de staart van een simulatie-uitkomst aantonen en verklaren</w:t>
      </w:r>
    </w:p>
    <w:p>
      <w:pPr>
        <w:pStyle w:val="ListParagraph"/>
        <w:numPr>
          <w:ilvl w:val="0"/>
          <w:numId w:val="2"/>
        </w:numPr>
        <w:spacing w:after="100" w:line="280"/>
      </w:pPr>
      <w:r>
        <w:rPr>
          <w:rFonts w:ascii="Calibri" w:cs="Calibri" w:eastAsia="Calibri" w:hAnsi="Calibri"/>
          <w:color w:val="1A1A1A"/>
          <w:sz w:val="21"/>
          <w:szCs w:val="21"/>
        </w:rPr>
        <w:t xml:space="preserve">een verdedigbare contingency voorstellen, gekoppeld aan de risicobereidheid uit deel 12</w:t>
      </w:r>
    </w:p>
    <w:p>
      <w:pPr>
        <w:pStyle w:val="ListParagraph"/>
        <w:numPr>
          <w:ilvl w:val="0"/>
          <w:numId w:val="2"/>
        </w:numPr>
        <w:spacing w:after="100" w:line="280"/>
      </w:pPr>
      <w:r>
        <w:rPr>
          <w:rFonts w:ascii="Calibri" w:cs="Calibri" w:eastAsia="Calibri" w:hAnsi="Calibri"/>
          <w:color w:val="1A1A1A"/>
          <w:sz w:val="21"/>
          <w:szCs w:val="21"/>
        </w:rPr>
        <w:t xml:space="preserve">een tornado-diagram interpreteren en gebruiken om mitigatie-inspanning te prioriteren</w:t>
      </w:r>
    </w:p>
    <w:p>
      <w:pPr>
        <w:pStyle w:val="Heading2"/>
        <w:spacing w:after="160" w:before="360"/>
      </w:pPr>
      <w:r>
        <w:rPr>
          <w:rFonts w:ascii="Calibri" w:cs="Calibri" w:eastAsia="Calibri" w:hAnsi="Calibri"/>
          <w:b/>
          <w:bCs/>
          <w:color w:val="2C5AA0"/>
          <w:sz w:val="26"/>
          <w:szCs w:val="26"/>
        </w:rPr>
        <w:t xml:space="preserve">Tijdsindeling (twee dagdelen, elk circa 3 uur 30, met een pauze ertussen)</w:t>
      </w:r>
    </w:p>
    <w:p>
      <w:pPr>
        <w:pStyle w:val="Heading3"/>
        <w:spacing w:after="120" w:before="280"/>
      </w:pPr>
      <w:r>
        <w:rPr>
          <w:rFonts w:ascii="Calibri" w:cs="Calibri" w:eastAsia="Calibri" w:hAnsi="Calibri"/>
          <w:b/>
          <w:bCs/>
          <w:color w:val="1B2A4A"/>
          <w:sz w:val="22"/>
          <w:szCs w:val="22"/>
        </w:rPr>
        <w:t xml:space="preserve">Dagdeel 1 — concepten en eerste simulatie</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1683"/>
        <w:gridCol w:w="5142"/>
        <w:gridCol w:w="2524"/>
      </w:tblGrid>
      <w:tr>
        <w:trPr>
          <w:tblHeader/>
        </w:trPr>
        <w:tc>
          <w:tcPr>
            <w:tcW w:type="pct" w:w="18%"/>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Tijd</w:t>
            </w:r>
          </w:p>
        </w:tc>
        <w:tc>
          <w:tcPr>
            <w:tcW w:type="pct" w:w="55%"/>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Onderdeel</w:t>
            </w:r>
          </w:p>
        </w:tc>
        <w:tc>
          <w:tcPr>
            <w:tcW w:type="pct" w:w="27%"/>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Vorm</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0:00–0:20</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Terugblik deel 14, de vraag van de Sponsoring Group</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Vertelling, slides 3–5</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0:20–0:45</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Het basisidee van Monte Carlo</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6–8</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0:45–1:15</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De vijf projecten, sequencing en correlatie geïntroduceerd</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9–11</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1:15–1:30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1:30–1:45</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Technische check: laptops, Python/numpy werkend, of Excel-alternatief klaar</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Groepjes van drie à vier vormen</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1:45–2:45</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Gezamenlijk de basissimulatie doorlopen, code-uitleg regel voor regel</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Live demonstratie + meetypen</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2:45–3:00</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3:00–3:30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Eerste resultaten bekijken, opdracht 15.1</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Plenair</w:t>
            </w:r>
          </w:p>
        </w:tc>
      </w:tr>
    </w:tbl>
    <w:p>
      <w:pPr>
        <w:pStyle w:val="Heading3"/>
        <w:spacing w:after="120" w:before="280"/>
      </w:pPr>
      <w:r>
        <w:rPr>
          <w:rFonts w:ascii="Calibri" w:cs="Calibri" w:eastAsia="Calibri" w:hAnsi="Calibri"/>
          <w:b/>
          <w:bCs/>
          <w:color w:val="1B2A4A"/>
          <w:sz w:val="22"/>
          <w:szCs w:val="22"/>
        </w:rPr>
        <w:t xml:space="preserve">Dagdeel 2 — interpretatie, correlatie, contingency, tornado</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1683"/>
        <w:gridCol w:w="5142"/>
        <w:gridCol w:w="2524"/>
      </w:tblGrid>
      <w:tr>
        <w:trPr>
          <w:tblHeader/>
        </w:trPr>
        <w:tc>
          <w:tcPr>
            <w:tcW w:type="pct" w:w="18%"/>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Tijd</w:t>
            </w:r>
          </w:p>
        </w:tc>
        <w:tc>
          <w:tcPr>
            <w:tcW w:type="pct" w:w="55%"/>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Onderdeel</w:t>
            </w:r>
          </w:p>
        </w:tc>
        <w:tc>
          <w:tcPr>
            <w:tcW w:type="pct" w:w="27%"/>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Vorm</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0:00–0:15</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Terugblik dagdeel 1</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Kort</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0:15–0:45</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Interpretatie P10/P50/P90, wat het niet zegt</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12–15, opdracht 15.1 nabespreken</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0:45–1:20</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Correlatie: simulatie met en zonder, vergelijken</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16–18, opdracht 15.2 en 15.3 (b, c)</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1:20–1:35</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1:35–2:15</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Contingency bepalen, koppeling aan risicobereidheid</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19–21, opdracht 15.4</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2:15–2:30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2:30–3:15</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Live simulatie-opdracht (paragraaf 15.8), in groepjes</w:t>
            </w:r>
          </w:p>
        </w:tc>
        <w:tc>
          <w:tcPr>
            <w:tcW w:type="pct" w:w="27%"/>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Alle vijf stappen doorlopen</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3:15–3:30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Groepjes presenteren kort hun advies, vooruitblik deel 16</w:t>
            </w:r>
          </w:p>
        </w:tc>
        <w:tc>
          <w:tcPr>
            <w:tcW w:type="pct" w:w="27%"/>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Plenair</w:t>
            </w:r>
          </w:p>
        </w:tc>
      </w:tr>
    </w:tbl>
    <w:p>
      <w:pPr>
        <w:pStyle w:val="Heading2"/>
        <w:spacing w:after="160" w:before="360"/>
      </w:pPr>
      <w:r>
        <w:rPr>
          <w:rFonts w:ascii="Calibri" w:cs="Calibri" w:eastAsia="Calibri" w:hAnsi="Calibri"/>
          <w:b/>
          <w:bCs/>
          <w:color w:val="2C5AA0"/>
          <w:sz w:val="26"/>
          <w:szCs w:val="26"/>
        </w:rPr>
        <w:t xml:space="preserve">Rolverdeling en materialen voor de hands-on sessie</w:t>
      </w:r>
    </w:p>
    <w:p>
      <w:pPr>
        <w:spacing w:after="180" w:line="300"/>
        <w:jc w:val="both"/>
      </w:pPr>
      <w:r>
        <w:rPr>
          <w:rFonts w:ascii="Calibri" w:cs="Calibri" w:eastAsia="Calibri" w:hAnsi="Calibri"/>
          <w:color w:val="1A1A1A"/>
          <w:sz w:val="21"/>
          <w:szCs w:val="21"/>
        </w:rPr>
        <w:t xml:space="preserve">Groepsgrootte: drie à vier deelnemers per groep, gemengd naar technische vaardigheid — zorg dat elke groep minstens één deelnemer heeft met enige programmeer- of spreadsheet-ervaring.</w:t>
      </w:r>
    </w:p>
    <w:p>
      <w:pPr>
        <w:pStyle w:val="Heading3"/>
        <w:spacing w:after="120" w:before="280"/>
      </w:pPr>
      <w:r>
        <w:rPr>
          <w:rFonts w:ascii="Calibri" w:cs="Calibri" w:eastAsia="Calibri" w:hAnsi="Calibri"/>
          <w:b/>
          <w:bCs/>
          <w:color w:val="1B2A4A"/>
          <w:sz w:val="22"/>
          <w:szCs w:val="22"/>
        </w:rPr>
        <w:t xml:space="preserve">Materialen</w:t>
      </w:r>
    </w:p>
    <w:p>
      <w:pPr>
        <w:pStyle w:val="ListParagraph"/>
        <w:numPr>
          <w:ilvl w:val="0"/>
          <w:numId w:val="2"/>
        </w:numPr>
        <w:spacing w:after="100" w:line="280"/>
      </w:pPr>
      <w:r>
        <w:rPr>
          <w:rFonts w:ascii="Calibri" w:cs="Calibri" w:eastAsia="Calibri" w:hAnsi="Calibri"/>
          <w:color w:val="1A1A1A"/>
          <w:sz w:val="21"/>
          <w:szCs w:val="21"/>
        </w:rPr>
        <w:t xml:space="preserve">Laptops met Python 3 en numpy geïnstalleerd, of toegang tot een voorgeconfigureerde cloud-notebook-omgeving</w:t>
      </w:r>
    </w:p>
    <w:p>
      <w:pPr>
        <w:pStyle w:val="ListParagraph"/>
        <w:numPr>
          <w:ilvl w:val="0"/>
          <w:numId w:val="2"/>
        </w:numPr>
        <w:spacing w:after="100" w:line="280"/>
      </w:pPr>
      <w:r>
        <w:rPr>
          <w:rFonts w:ascii="Calibri" w:cs="Calibri" w:eastAsia="Calibri" w:hAnsi="Calibri"/>
          <w:color w:val="1A1A1A"/>
          <w:sz w:val="21"/>
          <w:szCs w:val="21"/>
        </w:rPr>
        <w:t xml:space="preserve">Het Excel-alternatief (uit de Toolbijlage) als achtervang voor groepen zonder Python-ervaring — dezelfde logica, met RAND()-gebaseerde simulatie over meerdere rijen</w:t>
      </w:r>
    </w:p>
    <w:p>
      <w:pPr>
        <w:pStyle w:val="ListParagraph"/>
        <w:numPr>
          <w:ilvl w:val="0"/>
          <w:numId w:val="2"/>
        </w:numPr>
        <w:spacing w:after="100" w:line="280"/>
      </w:pPr>
      <w:r>
        <w:rPr>
          <w:rFonts w:ascii="Calibri" w:cs="Calibri" w:eastAsia="Calibri" w:hAnsi="Calibri"/>
          <w:color w:val="1A1A1A"/>
          <w:sz w:val="21"/>
          <w:szCs w:val="21"/>
        </w:rPr>
        <w:t xml:space="preserve">Een uitgeprint of digitaal gedeeld exemplaar van de code uit paragraaf 15.3, met ruimte om aantekeningen te maken</w:t>
      </w:r>
    </w:p>
    <w:p>
      <w:pPr>
        <w:pStyle w:val="ListParagraph"/>
        <w:numPr>
          <w:ilvl w:val="0"/>
          <w:numId w:val="2"/>
        </w:numPr>
        <w:spacing w:after="100" w:line="280"/>
      </w:pPr>
      <w:r>
        <w:rPr>
          <w:rFonts w:ascii="Calibri" w:cs="Calibri" w:eastAsia="Calibri" w:hAnsi="Calibri"/>
          <w:color w:val="1A1A1A"/>
          <w:sz w:val="21"/>
          <w:szCs w:val="21"/>
        </w:rPr>
        <w:t xml:space="preserve">Een projector of groot scherm voor de gezamenlijke live-demonstratie in dagdeel 1</w:t>
      </w:r>
    </w:p>
    <w:p>
      <w:pPr>
        <w:pStyle w:val="Heading3"/>
        <w:spacing w:after="120" w:before="280"/>
      </w:pPr>
      <w:r>
        <w:rPr>
          <w:rFonts w:ascii="Calibri" w:cs="Calibri" w:eastAsia="Calibri" w:hAnsi="Calibri"/>
          <w:b/>
          <w:bCs/>
          <w:color w:val="1B2A4A"/>
          <w:sz w:val="22"/>
          <w:szCs w:val="22"/>
        </w:rPr>
        <w:t xml:space="preserve">Rollen binnen elke groep (informeel, door de groep zelf te verdelen)</w:t>
      </w:r>
    </w:p>
    <w:p>
      <w:pPr>
        <w:pStyle w:val="ListParagraph"/>
        <w:numPr>
          <w:ilvl w:val="0"/>
          <w:numId w:val="2"/>
        </w:numPr>
        <w:spacing w:after="100" w:line="280"/>
      </w:pPr>
      <w:r>
        <w:rPr>
          <w:rFonts w:ascii="Calibri" w:cs="Calibri" w:eastAsia="Calibri" w:hAnsi="Calibri"/>
          <w:color w:val="1A1A1A"/>
          <w:sz w:val="21"/>
          <w:szCs w:val="21"/>
        </w:rPr>
        <w:t xml:space="preserve">Uitvoerder: typt en runt de code</w:t>
      </w:r>
    </w:p>
    <w:p>
      <w:pPr>
        <w:pStyle w:val="ListParagraph"/>
        <w:numPr>
          <w:ilvl w:val="0"/>
          <w:numId w:val="2"/>
        </w:numPr>
        <w:spacing w:after="100" w:line="280"/>
      </w:pPr>
      <w:r>
        <w:rPr>
          <w:rFonts w:ascii="Calibri" w:cs="Calibri" w:eastAsia="Calibri" w:hAnsi="Calibri"/>
          <w:color w:val="1A1A1A"/>
          <w:sz w:val="21"/>
          <w:szCs w:val="21"/>
        </w:rPr>
        <w:t xml:space="preserve">Interpretator: leest de uitkomsten en vertaalt ze naar de vragen uit de opdracht</w:t>
      </w:r>
    </w:p>
    <w:p>
      <w:pPr>
        <w:pStyle w:val="ListParagraph"/>
        <w:numPr>
          <w:ilvl w:val="0"/>
          <w:numId w:val="2"/>
        </w:numPr>
        <w:spacing w:after="100" w:line="280"/>
      </w:pPr>
      <w:r>
        <w:rPr>
          <w:rFonts w:ascii="Calibri" w:cs="Calibri" w:eastAsia="Calibri" w:hAnsi="Calibri"/>
          <w:color w:val="1A1A1A"/>
          <w:sz w:val="21"/>
          <w:szCs w:val="21"/>
        </w:rPr>
        <w:t xml:space="preserve">Notulist: legt vast welke aanpassingen zijn gedaan en wat de effecten waren, voor de korte presentatie aan het eind</w:t>
      </w:r>
    </w:p>
    <w:p>
      <w:pPr>
        <w:pStyle w:val="Heading2"/>
        <w:spacing w:after="160" w:before="360"/>
      </w:pPr>
      <w:r>
        <w:rPr>
          <w:rFonts w:ascii="Calibri" w:cs="Calibri" w:eastAsia="Calibri" w:hAnsi="Calibri"/>
          <w:b/>
          <w:bCs/>
          <w:color w:val="2C5AA0"/>
          <w:sz w:val="26"/>
          <w:szCs w:val="26"/>
        </w:rPr>
        <w:t xml:space="preserve">Valkuilen bij de uitleg</w:t>
      </w:r>
    </w:p>
    <w:p>
      <w:pPr>
        <w:pStyle w:val="ListParagraph"/>
        <w:numPr>
          <w:ilvl w:val="0"/>
          <w:numId w:val="2"/>
        </w:numPr>
        <w:spacing w:after="100" w:line="280"/>
      </w:pPr>
      <w:r>
        <w:rPr>
          <w:rFonts w:ascii="Calibri" w:cs="Calibri" w:eastAsia="Calibri" w:hAnsi="Calibri"/>
          <w:color w:val="1A1A1A"/>
          <w:sz w:val="21"/>
          <w:szCs w:val="21"/>
        </w:rPr>
        <w:t xml:space="preserve">Te veel tijd besteden aan Python-syntax in plaats van aan interpretatie. Het doel is niet dat deelnemers Python leren programmeren — het is dat ze begrijpen wat een simulatie doet en hoe ze de uitkomst lezen. Als een groep vastloopt op syntax, help dan snel en ga verder naar de inhoudelijke vraag.</w:t>
      </w:r>
    </w:p>
    <w:p>
      <w:pPr>
        <w:pStyle w:val="ListParagraph"/>
        <w:numPr>
          <w:ilvl w:val="0"/>
          <w:numId w:val="2"/>
        </w:numPr>
        <w:spacing w:after="100" w:line="280"/>
      </w:pPr>
      <w:r>
        <w:rPr>
          <w:rFonts w:ascii="Calibri" w:cs="Calibri" w:eastAsia="Calibri" w:hAnsi="Calibri"/>
          <w:color w:val="1A1A1A"/>
          <w:sz w:val="21"/>
          <w:szCs w:val="21"/>
        </w:rPr>
        <w:t xml:space="preserve">De correlatie-oefening (15.5) overslaan bij tijdsdruk. Dit is inhoudelijk het belangrijkste onderdeel van dagdeel 2 — de les dat onafhankelijk simuleren de staart onderschat, is precies waar kwantitatieve techniek een valkuil kan worden als hij naïef wordt toegepast. Bewaar hier tijd voor, kort zo nodig de tornado-diagram-oefening in plaats daarvan in.</w:t>
      </w:r>
    </w:p>
    <w:p>
      <w:pPr>
        <w:pStyle w:val="ListParagraph"/>
        <w:numPr>
          <w:ilvl w:val="0"/>
          <w:numId w:val="2"/>
        </w:numPr>
        <w:spacing w:after="100" w:line="280"/>
      </w:pPr>
      <w:r>
        <w:rPr>
          <w:rFonts w:ascii="Calibri" w:cs="Calibri" w:eastAsia="Calibri" w:hAnsi="Calibri"/>
          <w:color w:val="1A1A1A"/>
          <w:sz w:val="21"/>
          <w:szCs w:val="21"/>
        </w:rPr>
        <w:t xml:space="preserve">Contingency laten voelen als een puur technische uitkomst. Herhaal expliciet: de simulatie levert de cijfers (P50, P80, P90), maar de keuze wélk percentage je gebruikt is een bestuurlijke, aan risicobereidheid gekoppelde beslissing. Dit voorkomt dat deelnemers denken dat de ‘juiste’ contingency uit de software rolt.</w:t>
      </w:r>
    </w:p>
    <w:p>
      <w:pPr>
        <w:pStyle w:val="ListParagraph"/>
        <w:numPr>
          <w:ilvl w:val="0"/>
          <w:numId w:val="2"/>
        </w:numPr>
        <w:spacing w:after="100" w:line="280"/>
      </w:pPr>
      <w:r>
        <w:rPr>
          <w:rFonts w:ascii="Calibri" w:cs="Calibri" w:eastAsia="Calibri" w:hAnsi="Calibri"/>
          <w:color w:val="1A1A1A"/>
          <w:sz w:val="21"/>
          <w:szCs w:val="21"/>
        </w:rPr>
        <w:t xml:space="preserve">Percentages rond de 50% verkeerd laten interpreteren. Zoals opdracht 15.1 laat zien, is dit een hardnekkig menselijk denkpatroon. Besteed er expliciet aandacht aan, ook als de tijd krap is.</w:t>
      </w:r>
    </w:p>
    <w:p>
      <w:pPr>
        <w:pStyle w:val="Heading2"/>
        <w:spacing w:after="160" w:before="360"/>
      </w:pPr>
      <w:r>
        <w:rPr>
          <w:rFonts w:ascii="Calibri" w:cs="Calibri" w:eastAsia="Calibri" w:hAnsi="Calibri"/>
          <w:b/>
          <w:bCs/>
          <w:color w:val="2C5AA0"/>
          <w:sz w:val="26"/>
          <w:szCs w:val="26"/>
        </w:rPr>
        <w:t xml:space="preserve">Bij welke groep werkt dit hoe</w:t>
      </w:r>
    </w:p>
    <w:p>
      <w:pPr>
        <w:spacing w:after="180" w:line="300"/>
        <w:jc w:val="both"/>
      </w:pPr>
      <w:r>
        <w:rPr>
          <w:rFonts w:ascii="Calibri" w:cs="Calibri" w:eastAsia="Calibri" w:hAnsi="Calibri"/>
          <w:color w:val="1A1A1A"/>
          <w:sz w:val="21"/>
          <w:szCs w:val="21"/>
        </w:rPr>
        <w:t xml:space="preserve">Deelnemers met programmeer- of data-ervaring kunnen als ‘uitvoerder’ fungeren in gemengde groepen en sneller experimenteren met de opdrachten uit paragraaf 15.8. Moedig hen aan om ook uitleg te geven aan groepsgenoten, niet alleen zelf te typen — dat verdiept hun eigen begrip en helpt de groep als geheel.</w:t>
      </w:r>
    </w:p>
    <w:p>
      <w:pPr>
        <w:spacing w:after="180" w:line="300"/>
        <w:jc w:val="both"/>
      </w:pPr>
      <w:r>
        <w:rPr>
          <w:rFonts w:ascii="Calibri" w:cs="Calibri" w:eastAsia="Calibri" w:hAnsi="Calibri"/>
          <w:color w:val="1A1A1A"/>
          <w:sz w:val="21"/>
          <w:szCs w:val="21"/>
        </w:rPr>
        <w:t xml:space="preserve">Deelnemers zonder programmeerervaring, of met lichte weerstand tegen code, verzeker vooraf dat dit geen programmeercursus is en dat ze niet zelf code hoeven te schrijven — lezen, aanpassen van bestaande regels (zoals in opdracht 15.3) en vooral interpreteren zijn de gevraagde vaardigheden. Koppel hen aan een groepsgenoot met meer ervaring.</w:t>
      </w:r>
    </w:p>
    <w:p>
      <w:pPr>
        <w:spacing w:after="180" w:line="300"/>
        <w:jc w:val="both"/>
      </w:pPr>
      <w:r>
        <w:rPr>
          <w:rFonts w:ascii="Calibri" w:cs="Calibri" w:eastAsia="Calibri" w:hAnsi="Calibri"/>
          <w:color w:val="1A1A1A"/>
          <w:sz w:val="21"/>
          <w:szCs w:val="21"/>
        </w:rPr>
        <w:t xml:space="preserve">Deelnemers met een sterk kwantitatieve achtergrond (actuarieel, data science) kunnen de indruk hebben dat dit deel ‘te simpel’ is. Gebruik hen als vraagbaak binnen hun groep en daag hen uit met verdiepende vragen, bijvoorbeeld: welke andere verdelingsvorm (in plaats van driehoek) zou hier realistischer zijn, en waarom?</w:t>
      </w:r>
    </w:p>
    <w:p>
      <w:pPr>
        <w:pStyle w:val="Heading2"/>
        <w:spacing w:after="160" w:before="360"/>
      </w:pPr>
      <w:r>
        <w:rPr>
          <w:rFonts w:ascii="Calibri" w:cs="Calibri" w:eastAsia="Calibri" w:hAnsi="Calibri"/>
          <w:b/>
          <w:bCs/>
          <w:color w:val="2C5AA0"/>
          <w:sz w:val="26"/>
          <w:szCs w:val="26"/>
        </w:rPr>
        <w:t xml:space="preserve">Discussievragen</w:t>
      </w:r>
    </w:p>
    <w:p>
      <w:pPr>
        <w:pStyle w:val="ListParagraph"/>
        <w:numPr>
          <w:ilvl w:val="0"/>
          <w:numId w:val="2"/>
        </w:numPr>
        <w:spacing w:after="100" w:line="280"/>
      </w:pPr>
      <w:r>
        <w:rPr>
          <w:rFonts w:ascii="Calibri" w:cs="Calibri" w:eastAsia="Calibri" w:hAnsi="Calibri"/>
          <w:color w:val="1A1A1A"/>
          <w:sz w:val="21"/>
          <w:szCs w:val="21"/>
        </w:rPr>
        <w:t xml:space="preserve">Heeft jouw organisatie ooit een Monte Carlo-simulatie gebruikt voor een projectplanning of investeringsbeslissing? Wat was de ervaring?</w:t>
      </w:r>
    </w:p>
    <w:p>
      <w:pPr>
        <w:pStyle w:val="ListParagraph"/>
        <w:numPr>
          <w:ilvl w:val="0"/>
          <w:numId w:val="2"/>
        </w:numPr>
        <w:spacing w:after="100" w:line="280"/>
      </w:pPr>
      <w:r>
        <w:rPr>
          <w:rFonts w:ascii="Calibri" w:cs="Calibri" w:eastAsia="Calibri" w:hAnsi="Calibri"/>
          <w:color w:val="1A1A1A"/>
          <w:sz w:val="21"/>
          <w:szCs w:val="21"/>
        </w:rPr>
        <w:t xml:space="preserve">Kun je een risico in jouw eigen praktijk bedenken dat gecorreleerd is met een ander risico, op een manier die tot nu toe nooit expliciet is gemodelleerd?</w:t>
      </w:r>
    </w:p>
    <w:p>
      <w:pPr>
        <w:pStyle w:val="ListParagraph"/>
        <w:numPr>
          <w:ilvl w:val="0"/>
          <w:numId w:val="2"/>
        </w:numPr>
        <w:spacing w:after="100" w:line="280"/>
      </w:pPr>
      <w:r>
        <w:rPr>
          <w:rFonts w:ascii="Calibri" w:cs="Calibri" w:eastAsia="Calibri" w:hAnsi="Calibri"/>
          <w:color w:val="1A1A1A"/>
          <w:sz w:val="21"/>
          <w:szCs w:val="21"/>
        </w:rPr>
        <w:t xml:space="preserve">Hoe zou jij, zonder simulatiesoftware, toch een indicatie kunnen geven van ‘hoe zeker’ een planning is — welke eenvoudiger technieken uit deel 14 zouden een deel van dit inzicht kunnen benaderen?</w:t>
      </w:r>
    </w:p>
    <w:p>
      <w:pPr>
        <w:pStyle w:val="Heading2"/>
        <w:spacing w:after="160" w:before="360"/>
      </w:pPr>
      <w:r>
        <w:rPr>
          <w:rFonts w:ascii="Calibri" w:cs="Calibri" w:eastAsia="Calibri" w:hAnsi="Calibri"/>
          <w:b/>
          <w:bCs/>
          <w:color w:val="2C5AA0"/>
          <w:sz w:val="26"/>
          <w:szCs w:val="26"/>
        </w:rPr>
        <w:t xml:space="preserve">Antwoordmodel voor de moeilijkste bespreking (opdracht 15.1, onderdeel b)</w:t>
      </w:r>
    </w:p>
    <w:p>
      <w:pPr>
        <w:spacing w:after="180" w:line="300"/>
        <w:jc w:val="both"/>
      </w:pPr>
      <w:r>
        <w:rPr>
          <w:rFonts w:ascii="Calibri" w:cs="Calibri" w:eastAsia="Calibri" w:hAnsi="Calibri"/>
          <w:color w:val="1A1A1A"/>
          <w:sz w:val="21"/>
          <w:szCs w:val="21"/>
        </w:rPr>
        <w:t xml:space="preserve">Deelnemers lezen ‘45% kans op slagen’ vaak instinctief als ‘het gaat waarschijnlijk mis’ — een emotionele overreactie op een getal dat net onder de 50% ligt. Laat de groep het zelf herzien met de vraag: als een muntworp 45% kans op kop zou hebben in plaats van 50%, zou je dan zeggen ‘het wordt bijna zeker munt’? Het antwoord is nee — het is een licht scheve, maar in essentie bijna-gelijke kans. Het punt van deze vraag is niet dat 45% geruststellend zou moeten zijn, maar dat de juiste reactie een nauwkeurige, proportionele reactie is (dit is een reîel, tweezijdig risico dat aandacht verdient) in plaats van een overdreven, catastrofistische lezing die het getal niet rechtvaardigt.</w:t>
      </w:r>
    </w:p>
    <w:p>
      <w:pPr>
        <w:pStyle w:val="Heading2"/>
        <w:spacing w:after="160" w:before="360"/>
      </w:pPr>
      <w:r>
        <w:rPr>
          <w:rFonts w:ascii="Calibri" w:cs="Calibri" w:eastAsia="Calibri" w:hAnsi="Calibri"/>
          <w:b/>
          <w:bCs/>
          <w:color w:val="2C5AA0"/>
          <w:sz w:val="26"/>
          <w:szCs w:val="26"/>
        </w:rPr>
        <w:t xml:space="preserve">Materiaal</w:t>
      </w:r>
    </w:p>
    <w:p>
      <w:pPr>
        <w:pStyle w:val="ListParagraph"/>
        <w:numPr>
          <w:ilvl w:val="0"/>
          <w:numId w:val="2"/>
        </w:numPr>
        <w:spacing w:after="100" w:line="280"/>
      </w:pPr>
      <w:r>
        <w:rPr>
          <w:rFonts w:ascii="Calibri" w:cs="Calibri" w:eastAsia="Calibri" w:hAnsi="Calibri"/>
          <w:color w:val="1A1A1A"/>
          <w:sz w:val="21"/>
          <w:szCs w:val="21"/>
        </w:rPr>
        <w:t xml:space="preserve">De volledige Python-code uit paragraaf 15.3, getest en werkend vóór de sessie — controleer dit zelf vooraf op een schone installatie om verrassingen te voorkomen</w:t>
      </w:r>
    </w:p>
    <w:p>
      <w:pPr>
        <w:pStyle w:val="ListParagraph"/>
        <w:numPr>
          <w:ilvl w:val="0"/>
          <w:numId w:val="2"/>
        </w:numPr>
        <w:spacing w:after="100" w:line="280"/>
      </w:pPr>
      <w:r>
        <w:rPr>
          <w:rFonts w:ascii="Calibri" w:cs="Calibri" w:eastAsia="Calibri" w:hAnsi="Calibri"/>
          <w:color w:val="1A1A1A"/>
          <w:sz w:val="21"/>
          <w:szCs w:val="21"/>
        </w:rPr>
        <w:t xml:space="preserve">Het Excel-alternatief uit de Toolbijlage, eveneens vooraf getest</w:t>
      </w:r>
    </w:p>
    <w:p>
      <w:pPr>
        <w:pStyle w:val="ListParagraph"/>
        <w:numPr>
          <w:ilvl w:val="0"/>
          <w:numId w:val="2"/>
        </w:numPr>
        <w:spacing w:after="100" w:line="280"/>
      </w:pPr>
      <w:r>
        <w:rPr>
          <w:rFonts w:ascii="Calibri" w:cs="Calibri" w:eastAsia="Calibri" w:hAnsi="Calibri"/>
          <w:color w:val="1A1A1A"/>
          <w:sz w:val="21"/>
          <w:szCs w:val="21"/>
        </w:rPr>
        <w:t xml:space="preserve">Een geprojecteerd voorbeeld van het histogram (Figuur 15-2) en het tornado-diagram (Figuur 15-3), voor het geval een groep niet op tijd tot een werkende visualisatie komt</w:t>
      </w:r>
    </w:p>
    <w:p>
      <w:pPr>
        <w:pStyle w:val="Heading2"/>
        <w:spacing w:after="160" w:before="360"/>
      </w:pPr>
      <w:r>
        <w:rPr>
          <w:rFonts w:ascii="Calibri" w:cs="Calibri" w:eastAsia="Calibri" w:hAnsi="Calibri"/>
          <w:b/>
          <w:bCs/>
          <w:color w:val="2C5AA0"/>
          <w:sz w:val="26"/>
          <w:szCs w:val="26"/>
        </w:rPr>
        <w:t xml:space="preserve">Aansluiting op deel 16</w:t>
      </w:r>
    </w:p>
    <w:p>
      <w:pPr>
        <w:spacing w:after="180" w:line="300"/>
        <w:jc w:val="both"/>
      </w:pPr>
      <w:r>
        <w:rPr>
          <w:rFonts w:ascii="Calibri" w:cs="Calibri" w:eastAsia="Calibri" w:hAnsi="Calibri"/>
          <w:color w:val="1A1A1A"/>
          <w:sz w:val="21"/>
          <w:szCs w:val="21"/>
        </w:rPr>
        <w:t xml:space="preserve">Sluit af met: de kwantitatieve techniek van deel 14 en 15 geeft precisie over ‘hoeveel’ en ‘hoe zeker’, maar zegt niets over de dieperliggende oorzaken van een risico of over of een bestaande beheersmaatregel daadwerkelijk werkt. Deel 16 keert terug naar een meer kwalitatief, structureel instrument — bow-tie-analyse — dat oorzaken, het risico zelf, en gevolgen in één beeld samenbrengt.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2026-08-17T06:13:02.949Z</dcterms:created>
  <dcterms:modified xsi:type="dcterms:W3CDTF">2026-08-17T06:13:02.950Z</dcterms:modified>
</cp:coreProperties>
</file>

<file path=docProps/custom.xml><?xml version="1.0" encoding="utf-8"?>
<Properties xmlns="http://schemas.openxmlformats.org/officeDocument/2006/custom-properties" xmlns:vt="http://schemas.openxmlformats.org/officeDocument/2006/docPropsVTypes"/>
</file>