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15 — Kwantitatief II: Monte Carlo-simulatie</w:t>
      </w:r>
    </w:p>
    <w:p>
      <w:pPr>
        <w:spacing w:before="600"/>
        <w:jc w:val="center"/>
      </w:pPr>
      <w:r>
        <w:rPr>
          <w:rFonts w:ascii="Calibri" w:cs="Calibri" w:eastAsia="Calibri" w:hAnsi="Calibri"/>
          <w:b/>
          <w:bCs/>
          <w:color w:val="1B2A4A"/>
          <w:sz w:val="24"/>
          <w:szCs w:val="24"/>
        </w:rPr>
        <w:t xml:space="preserve">Niveau 2 — Professional</w:t>
      </w:r>
    </w:p>
    <w:p>
      <w:pPr>
        <w:spacing w:before="200"/>
        <w:jc w:val="center"/>
      </w:pPr>
      <w:r>
        <w:rPr>
          <w:rFonts w:ascii="Calibri" w:cs="Calibri" w:eastAsia="Calibri" w:hAnsi="Calibri"/>
          <w:i/>
          <w:iCs/>
          <w:color w:val="D99A3D"/>
          <w:sz w:val="24"/>
          <w:szCs w:val="24"/>
        </w:rPr>
        <w:t xml:space="preserve">Werkboek</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15 — Werkboek</w:t>
      </w:r>
    </w:p>
    <w:p>
      <w:pPr>
        <w:spacing w:after="180" w:line="300"/>
        <w:jc w:val="both"/>
      </w:pPr>
      <w:r>
        <w:rPr>
          <w:rFonts w:ascii="Calibri" w:cs="Calibri" w:eastAsia="Calibri" w:hAnsi="Calibri"/>
          <w:i/>
          <w:iCs/>
          <w:color w:val="1A1A1A"/>
          <w:sz w:val="21"/>
          <w:szCs w:val="21"/>
        </w:rPr>
        <w:t xml:space="preserve">Werk de opdrachten uit vóórdat je de uitwerking leest.</w:t>
      </w:r>
    </w:p>
    <w:p>
      <w:pPr>
        <w:pStyle w:val="Heading2"/>
        <w:spacing w:after="160" w:before="360"/>
      </w:pPr>
      <w:r>
        <w:rPr>
          <w:rFonts w:ascii="Calibri" w:cs="Calibri" w:eastAsia="Calibri" w:hAnsi="Calibri"/>
          <w:b/>
          <w:bCs/>
          <w:color w:val="2C5AA0"/>
          <w:sz w:val="26"/>
          <w:szCs w:val="26"/>
        </w:rPr>
        <w:t xml:space="preserve">Opdracht 15.1 — Lees de uitkomst</w:t>
      </w:r>
    </w:p>
    <w:p>
      <w:pPr>
        <w:spacing w:after="180" w:line="300"/>
        <w:jc w:val="both"/>
      </w:pPr>
      <w:r>
        <w:rPr>
          <w:rFonts w:ascii="Calibri" w:cs="Calibri" w:eastAsia="Calibri" w:hAnsi="Calibri"/>
          <w:color w:val="1A1A1A"/>
          <w:sz w:val="21"/>
          <w:szCs w:val="21"/>
        </w:rPr>
        <w:t xml:space="preserve">Een simulatie voor een ander programma levert op: kans op het halen van de deadline 45%, P10 = 20 weken, P50 = 26 weken, P90 = 34 weken, deadline = 24 weken. Beantwoord:</w:t>
      </w:r>
    </w:p>
    <w:p>
      <w:pPr>
        <w:spacing w:after="180" w:line="300"/>
        <w:jc w:val="both"/>
      </w:pPr>
      <w:r>
        <w:rPr>
          <w:rFonts w:ascii="Calibri" w:cs="Calibri" w:eastAsia="Calibri" w:hAnsi="Calibri"/>
          <w:color w:val="1A1A1A"/>
          <w:sz w:val="21"/>
          <w:szCs w:val="21"/>
        </w:rPr>
        <w:t xml:space="preserve">a) Wat betekent het dat P50 (26 weken) hoger ligt dan de deadline (24 weken)?</w:t>
      </w:r>
    </w:p>
    <w:p>
      <w:pPr>
        <w:spacing w:after="180" w:line="300"/>
        <w:jc w:val="both"/>
      </w:pPr>
      <w:r>
        <w:rPr>
          <w:rFonts w:ascii="Calibri" w:cs="Calibri" w:eastAsia="Calibri" w:hAnsi="Calibri"/>
          <w:color w:val="1A1A1A"/>
          <w:sz w:val="21"/>
          <w:szCs w:val="21"/>
        </w:rPr>
        <w:t xml:space="preserve">b) Is 45% kans op slagen hetzelfde als ‘het gaat waarschijnlijk mis’? Waarom wel of niet precies?</w:t>
      </w:r>
    </w:p>
    <w:p>
      <w:pPr>
        <w:spacing w:after="180" w:line="300"/>
        <w:jc w:val="both"/>
      </w:pPr>
      <w:r>
        <w:rPr>
          <w:rFonts w:ascii="Calibri" w:cs="Calibri" w:eastAsia="Calibri" w:hAnsi="Calibri"/>
          <w:color w:val="1A1A1A"/>
          <w:sz w:val="21"/>
          <w:szCs w:val="21"/>
        </w:rPr>
        <w:t xml:space="preserve">c) Wat zou je de Sponsoring Group adviseren als contingency, gegeven een programma met een hoge risicobereidheid voor deze specifieke deadline?</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a) Het betekent dat in meer dan de helft van de gesimuleerde scenario's de deadline wordt gemist — de mediane uitkomst ligt boven de deadline, wat consistent is met de kans van 45% (minder dan 50%) om hem te halen.
b) Nee, niet precies ‘waarschijnlijk mis’ — 45% is dicht bij een gelijke kans. Preciezer: er is een iets grotere kans op missen dan op halen, maar het verschil is klein genoeg dat het zonder aanvullende maatregelen een reîel, tweezijdig risico is, geen bijna-zekere mislukking.
c) Bij een hoge risicobereidheid voor déze specifieke deadline (dus meer bereid risico te nemen) zou een lagere contingency-marge (bijvoorbeeld gebaseerd op P60 of P70 in plaats van P90) verdedigbaar kunnen zijn — met de aantekening dat dit een bewuste, gedocumenteerde keuze moet zijn (vergelijkbaar met Kernzin 4, deel 6, niveau 1: een risicovollere keuze is prima, mits bewust genomen).
Wat je hier moet meenemen: onderdeel b is de belangrijkste correctie — percentages rond de 50% worden vaak intuïtief verkeerd gelezen als ‘waarschijnlijk goed’ of ‘waarschijnlijk fout’, terwijl ze eigenlijk een bijna-gelijke kans beschrijven.</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15.2 — Correlatie herkennen</w:t>
      </w:r>
    </w:p>
    <w:p>
      <w:pPr>
        <w:spacing w:after="180" w:line="300"/>
        <w:jc w:val="both"/>
      </w:pPr>
      <w:r>
        <w:rPr>
          <w:rFonts w:ascii="Calibri" w:cs="Calibri" w:eastAsia="Calibri" w:hAnsi="Calibri"/>
          <w:color w:val="1A1A1A"/>
          <w:sz w:val="21"/>
          <w:szCs w:val="21"/>
        </w:rPr>
        <w:t xml:space="preserve">Voor elk van de volgende paren risico's: is er een plausibele correlatie, en zo ja, welke gedeelde oorzaak zou je in een simulatie moeten modelleren?</w:t>
      </w:r>
    </w:p>
    <w:p>
      <w:pPr>
        <w:spacing w:after="180" w:line="300"/>
        <w:jc w:val="both"/>
      </w:pPr>
      <w:r>
        <w:rPr>
          <w:rFonts w:ascii="Calibri" w:cs="Calibri" w:eastAsia="Calibri" w:hAnsi="Calibri"/>
          <w:color w:val="1A1A1A"/>
          <w:sz w:val="21"/>
          <w:szCs w:val="21"/>
        </w:rPr>
        <w:t xml:space="preserve">a) Vertraging bij Project 2 (Verwerkingsengine) en vertraging bij Project 3 (Conversie), beide afhankelijk van dezelfde interne database-architect.</w:t>
      </w:r>
    </w:p>
    <w:p>
      <w:pPr>
        <w:spacing w:after="180" w:line="300"/>
        <w:jc w:val="both"/>
      </w:pPr>
      <w:r>
        <w:rPr>
          <w:rFonts w:ascii="Calibri" w:cs="Calibri" w:eastAsia="Calibri" w:hAnsi="Calibri"/>
          <w:color w:val="1A1A1A"/>
          <w:sz w:val="21"/>
          <w:szCs w:val="21"/>
        </w:rPr>
        <w:t xml:space="preserve">b) Een IT-storing bij Project 1 en een orkaan die het hoofdkantoor van Meridiaan treft.</w:t>
      </w:r>
    </w:p>
    <w:p>
      <w:pPr>
        <w:spacing w:after="180" w:line="300"/>
        <w:jc w:val="both"/>
      </w:pPr>
      <w:r>
        <w:rPr>
          <w:rFonts w:ascii="Calibri" w:cs="Calibri" w:eastAsia="Calibri" w:hAnsi="Calibri"/>
          <w:color w:val="1A1A1A"/>
          <w:sz w:val="21"/>
          <w:szCs w:val="21"/>
        </w:rPr>
        <w:t xml:space="preserve">c) Kostenoverschrijding bij Project 4 en een wetswijziging die extra communicatie-eisen oplegt aan alle vijf projecten tegelijk.</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a) Plausibele correlatie. Gedeelde oorzaak: de beschikbaarheid (of uitval) van de ene database-architect. Modelleer dit net als de leverancier-factor in paragraaf 15.3 — een gedeelde vertragingsfactor die op beide projecten inwerkt.
b) Geen plausibele correlatie in de gebruikelijke zin, tenzij het hoofdkantoor een kritieke rol speelt in de IT-infrastructuur van Project 1 — in de meeste gevallen zijn dit onafhankelijke gebeurtenissen met verschillende oorzaken.
c) Sterke, programmabrede correlatie. Een wetswijziging is een gedeelde externe factor die alle vijf projecten tegelijk kan raken — dit zou in een uitgebreider model gemodelleerd worden als een factor die op alle vijf projecten inwerkt, niet alleen op twee.
Wat je hier moet meenemen: correlatie ontstaat uit een gedeelde onderliggende oorzaak (een persoon, een leverancier, een wet), niet uit toeval of gelijktijdigheid alleen. Onderdeel c laat zien dat correlatie soms breder is dan een paar — een programmabrede factor die alle vijf projecten raakt, is in essentie hetzelfde principe als de P1-P4-correlatie, maar dan toegepast op de volledige set.</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15.3 — Pas de code aan (met of zonder laptop)</w:t>
      </w:r>
    </w:p>
    <w:p>
      <w:pPr>
        <w:spacing w:after="180" w:line="300"/>
        <w:jc w:val="both"/>
      </w:pPr>
      <w:r>
        <w:rPr>
          <w:rFonts w:ascii="Calibri" w:cs="Calibri" w:eastAsia="Calibri" w:hAnsi="Calibri"/>
          <w:color w:val="1A1A1A"/>
          <w:sz w:val="21"/>
          <w:szCs w:val="21"/>
        </w:rPr>
        <w:t xml:space="preserve">Neem de Python-code uit paragraaf 15.3. Beschrijf, ook als je de code niet zelf uitvoert, welke regel(s) je zou aanpassen om:</w:t>
      </w:r>
    </w:p>
    <w:p>
      <w:pPr>
        <w:spacing w:after="180" w:line="300"/>
        <w:jc w:val="both"/>
      </w:pPr>
      <w:r>
        <w:rPr>
          <w:rFonts w:ascii="Calibri" w:cs="Calibri" w:eastAsia="Calibri" w:hAnsi="Calibri"/>
          <w:color w:val="1A1A1A"/>
          <w:sz w:val="21"/>
          <w:szCs w:val="21"/>
        </w:rPr>
        <w:t xml:space="preserve">a) De deadline te verkennen bij 18 weken in plaats van 16.</w:t>
      </w:r>
    </w:p>
    <w:p>
      <w:pPr>
        <w:spacing w:after="180" w:line="300"/>
        <w:jc w:val="both"/>
      </w:pPr>
      <w:r>
        <w:rPr>
          <w:rFonts w:ascii="Calibri" w:cs="Calibri" w:eastAsia="Calibri" w:hAnsi="Calibri"/>
          <w:color w:val="1A1A1A"/>
          <w:sz w:val="21"/>
          <w:szCs w:val="21"/>
        </w:rPr>
        <w:t xml:space="preserve">b) Een zesde project (P6) toe te voegen met schatting (3, 5, 9), zonder afhankelijkheden van andere projecten.</w:t>
      </w:r>
    </w:p>
    <w:p>
      <w:pPr>
        <w:spacing w:after="180" w:line="300"/>
        <w:jc w:val="both"/>
      </w:pPr>
      <w:r>
        <w:rPr>
          <w:rFonts w:ascii="Calibri" w:cs="Calibri" w:eastAsia="Calibri" w:hAnsi="Calibri"/>
          <w:color w:val="1A1A1A"/>
          <w:sz w:val="21"/>
          <w:szCs w:val="21"/>
        </w:rPr>
        <w:t xml:space="preserve">c) De correlatie tussen P1 en P4 te verwijderen (ze volledig onafhankelijk te maken).</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a) Wijzig de regel deadline_weken = 16 naar deadline_weken = 18.
b) Voeg toe: p6 = trek_driehoek(3, 5, 9, n_simulaties), en pas de regel programma_doorlooptijd = np.maximum.reduce([p1, p2, p3, p4]) aan tot np.maximum.reduce([p1, p2, p3, p4, p6]) (ervan uitgaand dat P6 ook op het kritieke pad kan liggen, dus meetelt in de maximale doorlooptijd).
c) Vervang de regels waarin leverancier_factor wordt opgeteld bij p1 en p4 door onafhankelijke trekkingen zonder de gedeelde factor, bijvoorbeeld: p1 = trek_driehoek(8, 10, 16, n_simulaties) en p4 = trek_driehoek(5, 7, 11, n_simulaties) — elk met hun eigen, oorspronkelijke drie-puntsschatting uit paragraaf 15.2, zonder de gedeelde leverancier_factor.
Wat je hier moet meenemen: deze opdracht test niet Python-vaardigheid maar begrip van de structuur — welke regel doet wat, en waarom. Dat begrip is waardevoller dan foutloos kunnen typen, en is precies wat nodig is om tijdens de hands-on sessie effectief met een technisch vaardiger teamgenoot samen te werken.</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15.4 — Contingency verdedigen</w:t>
      </w:r>
    </w:p>
    <w:p>
      <w:pPr>
        <w:spacing w:after="180" w:line="300"/>
        <w:jc w:val="both"/>
      </w:pPr>
      <w:r>
        <w:rPr>
          <w:rFonts w:ascii="Calibri" w:cs="Calibri" w:eastAsia="Calibri" w:hAnsi="Calibri"/>
          <w:color w:val="1A1A1A"/>
          <w:sz w:val="21"/>
          <w:szCs w:val="21"/>
        </w:rPr>
        <w:t xml:space="preserve">Je adviseert de Sponsoring Group over de contingency voor het Mutatieplatform-programma. De simulatie levert P50 = 15 weken, P80 = 18 weken, P90 = 21 weken op, bij een huidig geplande deadline van 16 weken. Formuleer een kort advies (vier tot vijf zinnen) waarin je een concrete aanbeveling doet en die verdedigt met een verwijzing naar de risicobereidheid uit deel 12.</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Geen vast antwoord — hieronder een richtinggevend voorbeeld:
De huidige geplande deadline van 16 weken ligt net boven de mediane uitkomst (P50 = 15 weken), wat betekent dat de kans op halen net iets boven de 50% ligt — onvoldoende zekerheid gegeven onze vastgestelde risicobereidheid, die voor programmabrede vertraging een tolerantie van vier weken hanteert (deel 12, regel 1). Ik adviseer de deadline te heroverwegen naar 18 weken (P80-niveau), waarmee we met 80% zekerheid binnen de marge blijven. Dit sluit aan bij de eerder vastgestelde risicobereidheid, die uitdrukkelijk niet kiest voor de meest optimistische aanname. Mocht de Sponsoring Group toch bij 16 weken willen blijven, dan adviseer ik gerichte mitigatie op Project 1 — dat volgens de tornado-analyse de grootste bijdrage aan de onzekerheid levert.
Beoordelingscriteria: bevat het advies een concreet percentage of P-niveau (niet alleen ‘meer tijd nemen’)? Wordt de keuze verankerd in de eerder vastgestelde risicobereidheid in plaats van als losse mening gepresenteerd? Is er een alternatief genoemd voor het geval het bestuur de aanbeveling niet volgt?</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Zelftoets deel 15</w:t>
      </w:r>
    </w:p>
    <w:p>
      <w:pPr>
        <w:pStyle w:val="ListParagraph"/>
        <w:numPr>
          <w:ilvl w:val="0"/>
          <w:numId w:val="2"/>
        </w:numPr>
        <w:spacing w:after="100" w:line="280"/>
      </w:pPr>
      <w:r>
        <w:rPr>
          <w:rFonts w:ascii="Calibri" w:cs="Calibri" w:eastAsia="Calibri" w:hAnsi="Calibri"/>
          <w:color w:val="1A1A1A"/>
          <w:sz w:val="21"/>
          <w:szCs w:val="21"/>
        </w:rPr>
        <w:t xml:space="preserve">1. Wat is het basisidee van Monte Carlo-simulatie, in één zin?</w:t>
      </w:r>
    </w:p>
    <w:p>
      <w:pPr>
        <w:pStyle w:val="ListParagraph"/>
        <w:numPr>
          <w:ilvl w:val="0"/>
          <w:numId w:val="2"/>
        </w:numPr>
        <w:spacing w:after="100" w:line="280"/>
      </w:pPr>
      <w:r>
        <w:rPr>
          <w:rFonts w:ascii="Calibri" w:cs="Calibri" w:eastAsia="Calibri" w:hAnsi="Calibri"/>
          <w:color w:val="1A1A1A"/>
          <w:sz w:val="21"/>
          <w:szCs w:val="21"/>
        </w:rPr>
        <w:t xml:space="preserve">2. Waarom is een driehoeksverdeling een natuurlijke keuze na een drie-puntsschatting?</w:t>
      </w:r>
    </w:p>
    <w:p>
      <w:pPr>
        <w:pStyle w:val="ListParagraph"/>
        <w:numPr>
          <w:ilvl w:val="0"/>
          <w:numId w:val="2"/>
        </w:numPr>
        <w:spacing w:after="100" w:line="280"/>
      </w:pPr>
      <w:r>
        <w:rPr>
          <w:rFonts w:ascii="Calibri" w:cs="Calibri" w:eastAsia="Calibri" w:hAnsi="Calibri"/>
          <w:color w:val="1A1A1A"/>
          <w:sz w:val="21"/>
          <w:szCs w:val="21"/>
        </w:rPr>
        <w:t xml:space="preserve">3. Wat is het verschil tussen wat ‘62% kans op halen van de deadline” wél en niet zegt?</w:t>
      </w:r>
    </w:p>
    <w:p>
      <w:pPr>
        <w:pStyle w:val="ListParagraph"/>
        <w:numPr>
          <w:ilvl w:val="0"/>
          <w:numId w:val="2"/>
        </w:numPr>
        <w:spacing w:after="100" w:line="280"/>
      </w:pPr>
      <w:r>
        <w:rPr>
          <w:rFonts w:ascii="Calibri" w:cs="Calibri" w:eastAsia="Calibri" w:hAnsi="Calibri"/>
          <w:color w:val="1A1A1A"/>
          <w:sz w:val="21"/>
          <w:szCs w:val="21"/>
        </w:rPr>
        <w:t xml:space="preserve">4. Waarom is P50 niet hetzelfde als de PERT-verwachte waarde uit deel 14?</w:t>
      </w:r>
    </w:p>
    <w:p>
      <w:pPr>
        <w:pStyle w:val="ListParagraph"/>
        <w:numPr>
          <w:ilvl w:val="0"/>
          <w:numId w:val="2"/>
        </w:numPr>
        <w:spacing w:after="100" w:line="280"/>
      </w:pPr>
      <w:r>
        <w:rPr>
          <w:rFonts w:ascii="Calibri" w:cs="Calibri" w:eastAsia="Calibri" w:hAnsi="Calibri"/>
          <w:color w:val="1A1A1A"/>
          <w:sz w:val="21"/>
          <w:szCs w:val="21"/>
        </w:rPr>
        <w:t xml:space="preserve">5. Wat doet correlatie tussen twee risico's met de staart van een simulatie-uitkomst, en waarom?</w:t>
      </w:r>
    </w:p>
    <w:p>
      <w:pPr>
        <w:pStyle w:val="ListParagraph"/>
        <w:numPr>
          <w:ilvl w:val="0"/>
          <w:numId w:val="2"/>
        </w:numPr>
        <w:spacing w:after="100" w:line="280"/>
      </w:pPr>
      <w:r>
        <w:rPr>
          <w:rFonts w:ascii="Calibri" w:cs="Calibri" w:eastAsia="Calibri" w:hAnsi="Calibri"/>
          <w:color w:val="1A1A1A"/>
          <w:sz w:val="21"/>
          <w:szCs w:val="21"/>
        </w:rPr>
        <w:t xml:space="preserve">6. Hoe bepaal je een verdedigbare contingency, en welk eerder deel bepaalt welk P-percentage passend is?</w:t>
      </w:r>
    </w:p>
    <w:p>
      <w:pPr>
        <w:pStyle w:val="ListParagraph"/>
        <w:numPr>
          <w:ilvl w:val="0"/>
          <w:numId w:val="2"/>
        </w:numPr>
        <w:spacing w:after="100" w:line="280"/>
      </w:pPr>
      <w:r>
        <w:rPr>
          <w:rFonts w:ascii="Calibri" w:cs="Calibri" w:eastAsia="Calibri" w:hAnsi="Calibri"/>
          <w:color w:val="1A1A1A"/>
          <w:sz w:val="21"/>
          <w:szCs w:val="21"/>
        </w:rPr>
        <w:t xml:space="preserve">7. Wat laat een tornado-diagram zien, en waarom is dat iets anders dan ‘het project met de hoogste impactscore’?</w:t>
      </w:r>
    </w:p>
    <w:p>
      <w:pPr>
        <w:pStyle w:val="Heading2"/>
        <w:spacing w:after="160" w:before="360"/>
      </w:pPr>
      <w:r>
        <w:rPr>
          <w:rFonts w:ascii="Calibri" w:cs="Calibri" w:eastAsia="Calibri" w:hAnsi="Calibri"/>
          <w:b/>
          <w:bCs/>
          <w:color w:val="2C5AA0"/>
          <w:sz w:val="26"/>
          <w:szCs w:val="26"/>
        </w:rPr>
        <w:t xml:space="preserve">Antwoorden zelftoets</w:t>
      </w:r>
    </w:p>
    <w:p>
      <w:pPr>
        <w:spacing w:after="180" w:line="300"/>
        <w:jc w:val="both"/>
      </w:pPr>
      <w:r>
        <w:rPr>
          <w:rFonts w:ascii="Calibri" w:cs="Calibri" w:eastAsia="Calibri" w:hAnsi="Calibri"/>
          <w:color w:val="1A1A1A"/>
          <w:sz w:val="21"/>
          <w:szCs w:val="21"/>
        </w:rPr>
        <w:t xml:space="preserve">1. Door duizenden keren willekeurig te trekken uit kansverdelingen per risico en de uitkomsten volgens de juiste logica te combineren, bouw je een volledige verdeling van mogelijke totaaluitkomsten in plaats van één enkel getal.</w:t>
      </w:r>
    </w:p>
    <w:p>
      <w:pPr>
        <w:spacing w:after="180" w:line="300"/>
        <w:jc w:val="both"/>
      </w:pPr>
      <w:r>
        <w:rPr>
          <w:rFonts w:ascii="Calibri" w:cs="Calibri" w:eastAsia="Calibri" w:hAnsi="Calibri"/>
          <w:color w:val="1A1A1A"/>
          <w:sz w:val="21"/>
          <w:szCs w:val="21"/>
        </w:rPr>
        <w:t xml:space="preserve">2. Omdat de drie punten (optimistisch, meest waarschijnlijk, pessimistisch) direct de drie hoekpunten van een driehoeksverdeling vormen — het is de eenvoudigste verdeling die precies bij deze drie schattingen past.</w:t>
      </w:r>
    </w:p>
    <w:p>
      <w:pPr>
        <w:spacing w:after="180" w:line="300"/>
        <w:jc w:val="both"/>
      </w:pPr>
      <w:r>
        <w:rPr>
          <w:rFonts w:ascii="Calibri" w:cs="Calibri" w:eastAsia="Calibri" w:hAnsi="Calibri"/>
          <w:color w:val="1A1A1A"/>
          <w:sz w:val="21"/>
          <w:szCs w:val="21"/>
        </w:rPr>
        <w:t xml:space="preserve">3. Het zegt dat, gegeven de aannames in het model, in 62 van de 100 hypothetische herhalingen de deadline zou zijn gehaald. Het zegt niet dat ‘62% van het werk klaar is”, en het zegt niets over onzekerheden die niet in het model zijn opgenomen.</w:t>
      </w:r>
    </w:p>
    <w:p>
      <w:pPr>
        <w:spacing w:after="180" w:line="300"/>
        <w:jc w:val="both"/>
      </w:pPr>
      <w:r>
        <w:rPr>
          <w:rFonts w:ascii="Calibri" w:cs="Calibri" w:eastAsia="Calibri" w:hAnsi="Calibri"/>
          <w:color w:val="1A1A1A"/>
          <w:sz w:val="21"/>
          <w:szCs w:val="21"/>
        </w:rPr>
        <w:t xml:space="preserve">4. P50 is de mediaan (de middelste uitkomst van de gesimuleerde verdeling); de PERT-verwachte waarde is een gewogen gemiddelde. Bij scheve verdelingen wijken deze twee maten van elkaar af.</w:t>
      </w:r>
    </w:p>
    <w:p>
      <w:pPr>
        <w:spacing w:after="180" w:line="300"/>
        <w:jc w:val="both"/>
      </w:pPr>
      <w:r>
        <w:rPr>
          <w:rFonts w:ascii="Calibri" w:cs="Calibri" w:eastAsia="Calibri" w:hAnsi="Calibri"/>
          <w:color w:val="1A1A1A"/>
          <w:sz w:val="21"/>
          <w:szCs w:val="21"/>
        </w:rPr>
        <w:t xml:space="preserve">5. Correlatie verbreedt de staart van de verdeling (de kans op een zeer ongunstige gecombineerde uitkomst) — onafhankelijk simuleren onderschat systematisch de kans dat meerdere risico's zich tegelijk voordoen.</w:t>
      </w:r>
    </w:p>
    <w:p>
      <w:pPr>
        <w:spacing w:after="180" w:line="300"/>
        <w:jc w:val="both"/>
      </w:pPr>
      <w:r>
        <w:rPr>
          <w:rFonts w:ascii="Calibri" w:cs="Calibri" w:eastAsia="Calibri" w:hAnsi="Calibri"/>
          <w:color w:val="1A1A1A"/>
          <w:sz w:val="21"/>
          <w:szCs w:val="21"/>
        </w:rPr>
        <w:t xml:space="preserve">6. Door een P-percentage (bijvoorbeeld P80 of P90) te kiezen dat past bij de risicobereidheid; deel 12 (risicobereidheid, -capaciteit en toleranties) bepaalt welk percentage passend is.</w:t>
      </w:r>
    </w:p>
    <w:p>
      <w:pPr>
        <w:spacing w:after="180" w:line="300"/>
        <w:jc w:val="both"/>
      </w:pPr>
      <w:r>
        <w:rPr>
          <w:rFonts w:ascii="Calibri" w:cs="Calibri" w:eastAsia="Calibri" w:hAnsi="Calibri"/>
          <w:color w:val="1A1A1A"/>
          <w:sz w:val="21"/>
          <w:szCs w:val="21"/>
        </w:rPr>
        <w:t xml:space="preserve">7. Een tornado-diagram laat zien hoeveel elk risico bijdraagt aan de totale onzekerheid van de uitkomst, inclusief het effect van correlatie — een risico kan een bescheiden eigen impactscore hebben en toch de grootste bijdrage aan de totale onzekerheid leveren, zoals Project 1 in het Mutatieplatform-voorbeeld.</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2026-08-17T06:12:10.929Z</dcterms:created>
  <dcterms:modified xsi:type="dcterms:W3CDTF">2026-08-17T06:12:10.930Z</dcterms:modified>
</cp:coreProperties>
</file>

<file path=docProps/custom.xml><?xml version="1.0" encoding="utf-8"?>
<Properties xmlns="http://schemas.openxmlformats.org/officeDocument/2006/custom-properties" xmlns:vt="http://schemas.openxmlformats.org/officeDocument/2006/docPropsVTypes"/>
</file>