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16 — Bow-tie-analyse: oorzaken, gevolgen en barrières die je test</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16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Na twee zware, kwantitatieve delen (14 en 15) is dit deel een welkome terugkeer naar visueel, structureel denken — maar onderschat het niet: het bevat met het onderscheid opzet/werkingseffectiviteit een van de scherpste, meest praktisch toepasbare inzichten van het hele niveau. Veel organisaties hebben registers vol maatregelen die nooit op werking zijn getoetst; dit deel geeft deelnemers een concreet instrument om dat zichtbaar te maken.</w:t>
      </w:r>
    </w:p>
    <w:p>
      <w:pPr>
        <w:spacing w:after="180" w:line="300"/>
        <w:jc w:val="both"/>
      </w:pPr>
      <w:r>
        <w:rPr>
          <w:rFonts w:ascii="Calibri" w:cs="Calibri" w:eastAsia="Calibri" w:hAnsi="Calibri"/>
          <w:color w:val="1A1A1A"/>
          <w:sz w:val="21"/>
          <w:szCs w:val="21"/>
        </w:rPr>
        <w:t xml:space="preserve">Bewaak dat de bow-tie niet wordt behandeld als ‘een andere manier om hetzelfde te tekenen als de risicozin’. Het is een aanvullend instrument voor risico's met meerdere oorzaken of gevolgen — niet elk risico verdient een volledige bow-tie, en dat onderscheid (wanneer wel, wanneer niet) is het waard om expliciet te bespreken.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een bow-tie-diagram opbouwen met meerdere dreigingen, een centrale gebeurtenis, meerdere gevolgen en bijbehorende barrières</w:t>
      </w:r>
    </w:p>
    <w:p>
      <w:pPr>
        <w:pStyle w:val="ListParagraph"/>
        <w:numPr>
          <w:ilvl w:val="0"/>
          <w:numId w:val="2"/>
        </w:numPr>
        <w:spacing w:after="100" w:line="280"/>
      </w:pPr>
      <w:r>
        <w:rPr>
          <w:rFonts w:ascii="Calibri" w:cs="Calibri" w:eastAsia="Calibri" w:hAnsi="Calibri"/>
          <w:color w:val="1A1A1A"/>
          <w:sz w:val="21"/>
          <w:szCs w:val="21"/>
        </w:rPr>
        <w:t xml:space="preserve">het verschil tussen opzeteffectiviteit en werkingseffectiviteit toepassen op een gegeven maatregel</w:t>
      </w:r>
    </w:p>
    <w:p>
      <w:pPr>
        <w:pStyle w:val="ListParagraph"/>
        <w:numPr>
          <w:ilvl w:val="0"/>
          <w:numId w:val="2"/>
        </w:numPr>
        <w:spacing w:after="100" w:line="280"/>
      </w:pPr>
      <w:r>
        <w:rPr>
          <w:rFonts w:ascii="Calibri" w:cs="Calibri" w:eastAsia="Calibri" w:hAnsi="Calibri"/>
          <w:color w:val="1A1A1A"/>
          <w:sz w:val="21"/>
          <w:szCs w:val="21"/>
        </w:rPr>
        <w:t xml:space="preserve">Kernzin 10 toepassen en uitleggen waarom een niet-geteste maatregel geen betrouwbare basis is voor een residuele score</w:t>
      </w:r>
    </w:p>
    <w:p>
      <w:pPr>
        <w:pStyle w:val="ListParagraph"/>
        <w:numPr>
          <w:ilvl w:val="0"/>
          <w:numId w:val="2"/>
        </w:numPr>
        <w:spacing w:after="100" w:line="280"/>
      </w:pPr>
      <w:r>
        <w:rPr>
          <w:rFonts w:ascii="Calibri" w:cs="Calibri" w:eastAsia="Calibri" w:hAnsi="Calibri"/>
          <w:color w:val="1A1A1A"/>
          <w:sz w:val="21"/>
          <w:szCs w:val="21"/>
        </w:rPr>
        <w:t xml:space="preserve">de drie toetsmethoden voor werkingseffectiviteit kiezen op basis van volume en doel</w:t>
      </w:r>
    </w:p>
    <w:p>
      <w:pPr>
        <w:pStyle w:val="ListParagraph"/>
        <w:numPr>
          <w:ilvl w:val="0"/>
          <w:numId w:val="2"/>
        </w:numPr>
        <w:spacing w:after="100" w:line="280"/>
      </w:pPr>
      <w:r>
        <w:rPr>
          <w:rFonts w:ascii="Calibri" w:cs="Calibri" w:eastAsia="Calibri" w:hAnsi="Calibri"/>
          <w:color w:val="1A1A1A"/>
          <w:sz w:val="21"/>
          <w:szCs w:val="21"/>
        </w:rPr>
        <w:t xml:space="preserve">een escalatiefactor herkennen en onderscheiden van toevallige samenloop</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15, de validatiecontrole die niemand testte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Wat een bow-tie is, de structuur</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bow-tie voor het dataverwerkingsrisico</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16.1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of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Opzet- versus werkingseffectiviteit, Kernzin 10</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12–16, opdracht 16.2</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2:30–2:55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 toetsmethoden, opdracht 16.3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17–19,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Escalatiefactoren, opdracht 16.4</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20–22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17</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23</w:t>
            </w:r>
          </w:p>
        </w:tc>
      </w:tr>
    </w:tbl>
    <w:p>
      <w:pPr>
        <w:spacing w:after="180" w:line="300"/>
        <w:jc w:val="both"/>
      </w:pPr>
      <w:r>
        <w:rPr>
          <w:rFonts w:ascii="Calibri" w:cs="Calibri" w:eastAsia="Calibri" w:hAnsi="Calibri"/>
          <w:color w:val="1A1A1A"/>
          <w:sz w:val="21"/>
          <w:szCs w:val="21"/>
        </w:rPr>
        <w:t xml:space="preserve">Huiswerk voor deel 17: geen nieuwe formele opdracht; vraag deelnemers na te denken over hoe zij zouden bepalen wie eigenaar zou moeten zijn van het gedeelde-leveranciersrisico uit opdracht 16.1 — dit voedt de discussie in deel 17.</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bow-tie voor elk risico verplicht stellen. Dat is disproportioneel — net als bij kwantificeren in deel 14, geldt hier: gebruik het instrument waar het waarde toevoegt (meerdere dreigingen of gevolgen), niet standaard voor elk risico in het register.</w:t>
      </w:r>
    </w:p>
    <w:p>
      <w:pPr>
        <w:pStyle w:val="ListParagraph"/>
        <w:numPr>
          <w:ilvl w:val="0"/>
          <w:numId w:val="2"/>
        </w:numPr>
        <w:spacing w:after="100" w:line="280"/>
      </w:pPr>
      <w:r>
        <w:rPr>
          <w:rFonts w:ascii="Calibri" w:cs="Calibri" w:eastAsia="Calibri" w:hAnsi="Calibri"/>
          <w:color w:val="1A1A1A"/>
          <w:sz w:val="21"/>
          <w:szCs w:val="21"/>
        </w:rPr>
        <w:t xml:space="preserve">Werkingseffectiviteit als eenmalige actie behandelen. Een maatregel die vandaag getest is, kan morgen alweer zijn uitgeschakeld door een wijziging elders (zoals de software-update in 16.4). Benadruk dat dit een terugkerende, geen eenmalige toets is — een directe koppeling aan de monitoringcyclus uit deel 8 (niveau 1).</w:t>
      </w:r>
    </w:p>
    <w:p>
      <w:pPr>
        <w:pStyle w:val="ListParagraph"/>
        <w:numPr>
          <w:ilvl w:val="0"/>
          <w:numId w:val="2"/>
        </w:numPr>
        <w:spacing w:after="100" w:line="280"/>
      </w:pPr>
      <w:r>
        <w:rPr>
          <w:rFonts w:ascii="Calibri" w:cs="Calibri" w:eastAsia="Calibri" w:hAnsi="Calibri"/>
          <w:color w:val="1A1A1A"/>
          <w:sz w:val="21"/>
          <w:szCs w:val="21"/>
        </w:rPr>
        <w:t xml:space="preserve">Escalatiefactoren te snel laten samenvallen met gewone dreigingen. Het verschil is subtiel maar belangrijk: een dreiging veroorzaakt het risico zelf, een escalatiefactor ondermijnt de barrière die het risico moet tegenhouden. Gebruik opdracht 16.4 om dit onderscheid scherp te krijgen.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een audit- of kwaliteitsborgingsachtergrond herkennen het onderscheid opzet/werkingseffectiviteit vaak direct uit hun eigen vakgebied (het is een centraal begrip in interne controle en auditmethodologie). Gebruik hen om voorbeelden uit hun eigen praktijk in te brengen bij de bespreking van opdracht 16.2.</w:t>
      </w:r>
    </w:p>
    <w:p>
      <w:pPr>
        <w:spacing w:after="180" w:line="300"/>
        <w:jc w:val="both"/>
      </w:pPr>
      <w:r>
        <w:rPr>
          <w:rFonts w:ascii="Calibri" w:cs="Calibri" w:eastAsia="Calibri" w:hAnsi="Calibri"/>
          <w:color w:val="1A1A1A"/>
          <w:sz w:val="21"/>
          <w:szCs w:val="21"/>
        </w:rPr>
        <w:t xml:space="preserve">Deelnemers met een technische, IT-achtergrond herkennen het scenario van de stilzwijgend uitgeschakelde validatieregel (16.4) goed — technische wijzigingen die onopgemerkt een controle ondermijnen zijn een bekend fenomeen in softwareontwikkeling. Betrek hen bij de discussie over hoe je dit soort risico's structureel voorkomt (bijvoorbeeld door tests te automatiseren).</w:t>
      </w:r>
    </w:p>
    <w:p>
      <w:pPr>
        <w:spacing w:after="180" w:line="300"/>
        <w:jc w:val="both"/>
      </w:pPr>
      <w:r>
        <w:rPr>
          <w:rFonts w:ascii="Calibri" w:cs="Calibri" w:eastAsia="Calibri" w:hAnsi="Calibri"/>
          <w:color w:val="1A1A1A"/>
          <w:sz w:val="21"/>
          <w:szCs w:val="21"/>
        </w:rPr>
        <w:t xml:space="preserve">Projectmanagers zonder audit-achtergrond kunnen het onderscheid opzet/werking in eerste instantie kunstmatig vinden (‘als het er staat, werkt het toch?’). Gebruik het verhaal van 16.0 en 16.4 nadrukkelijk als overtuigend, concreet voorbeeld — abstracte uitleg alleen overtuigt deze groep minder snel dan een verhaal met een duidelijke uitkomst.</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in jouw eigen organisatie, een maatregel die ‘op papier’ bestaat maar waarvan niemand recent heeft getoetst of ze nog werkt?</w:t>
      </w:r>
    </w:p>
    <w:p>
      <w:pPr>
        <w:pStyle w:val="ListParagraph"/>
        <w:numPr>
          <w:ilvl w:val="0"/>
          <w:numId w:val="2"/>
        </w:numPr>
        <w:spacing w:after="100" w:line="280"/>
      </w:pPr>
      <w:r>
        <w:rPr>
          <w:rFonts w:ascii="Calibri" w:cs="Calibri" w:eastAsia="Calibri" w:hAnsi="Calibri"/>
          <w:color w:val="1A1A1A"/>
          <w:sz w:val="21"/>
          <w:szCs w:val="21"/>
        </w:rPr>
        <w:t xml:space="preserve">Is er een voorbeeld uit jouw praktijk van een technische of organisatorische wijziging die onbedoeld een controle heeft ondermijnd, zonder dat iemand dat meteen merkte?</w:t>
      </w:r>
    </w:p>
    <w:p>
      <w:pPr>
        <w:pStyle w:val="ListParagraph"/>
        <w:numPr>
          <w:ilvl w:val="0"/>
          <w:numId w:val="2"/>
        </w:numPr>
        <w:spacing w:after="100" w:line="280"/>
      </w:pPr>
      <w:r>
        <w:rPr>
          <w:rFonts w:ascii="Calibri" w:cs="Calibri" w:eastAsia="Calibri" w:hAnsi="Calibri"/>
          <w:color w:val="1A1A1A"/>
          <w:sz w:val="21"/>
          <w:szCs w:val="21"/>
        </w:rPr>
        <w:t xml:space="preserve">Welke van de drie toetsmethoden zou het makkelijkst in te voeren zijn in jouw organisatie voor de belangrijkste, nog ongeteste maatregelen?</w:t>
      </w:r>
    </w:p>
    <w:p>
      <w:pPr>
        <w:pStyle w:val="Heading2"/>
        <w:spacing w:after="160" w:before="360"/>
      </w:pPr>
      <w:r>
        <w:rPr>
          <w:rFonts w:ascii="Calibri" w:cs="Calibri" w:eastAsia="Calibri" w:hAnsi="Calibri"/>
          <w:b/>
          <w:bCs/>
          <w:color w:val="2C5AA0"/>
          <w:sz w:val="26"/>
          <w:szCs w:val="26"/>
        </w:rPr>
        <w:t xml:space="preserve">Antwoordmodel voor de moeilijkste bespreking (Kernzin 10, de residuele score)</w:t>
      </w:r>
    </w:p>
    <w:p>
      <w:pPr>
        <w:spacing w:after="180" w:line="300"/>
        <w:jc w:val="both"/>
      </w:pPr>
      <w:r>
        <w:rPr>
          <w:rFonts w:ascii="Calibri" w:cs="Calibri" w:eastAsia="Calibri" w:hAnsi="Calibri"/>
          <w:color w:val="1A1A1A"/>
          <w:sz w:val="21"/>
          <w:szCs w:val="21"/>
        </w:rPr>
        <w:t xml:space="preserve">Deelnemers stellen soms de vraag: ‘als we niet weten of een maatregel werkt, moeten we hem dan maar helemaal negeren?’ Dat is niet de juiste conclusie. Leg uit met de vraag: als je niet weet of je autogordel werkt, rijd je dan zonder gordel, of ga je ervan uit dat hij waarschijnlijk werkt totdat het tegendeel blijkt? Het punt van Kernzin 10 is niet dat een ongeteste maatregel waardeloos is — het is dat je hem niet mag meetellen in je residuele score alsof hij bewezen effectief is. De praktische consequentie: totdat werking is getoetst, gebruik je voorzichtigheidshalve de inherente score (of een score die dichter bij inherent ligt), en je zet het toetsen van de werking zelf als actie in het register — precies zoals Sanne deed toen ze de steekproef liet uitvoeren.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leeg bow-tie-sjabloon (zoals Figuur 16-1) als uitdeelblad of digitaal sjabloon voor opdracht 16.1.</w:t>
      </w:r>
    </w:p>
    <w:p>
      <w:pPr>
        <w:pStyle w:val="ListParagraph"/>
        <w:numPr>
          <w:ilvl w:val="0"/>
          <w:numId w:val="2"/>
        </w:numPr>
        <w:spacing w:after="100" w:line="280"/>
      </w:pPr>
      <w:r>
        <w:rPr>
          <w:rFonts w:ascii="Calibri" w:cs="Calibri" w:eastAsia="Calibri" w:hAnsi="Calibri"/>
          <w:color w:val="1A1A1A"/>
          <w:sz w:val="21"/>
          <w:szCs w:val="21"/>
        </w:rPr>
        <w:t xml:space="preserve">Het tweeassige diagram uit paragraaf 16.3 (Figuur 16-3) als blijvend naslagwerk gedurende het dagdeel — verwijs er bij elke casus naar terug om de positie van de besproken maatregel te markeren.</w:t>
      </w:r>
    </w:p>
    <w:p>
      <w:pPr>
        <w:pStyle w:val="Heading2"/>
        <w:spacing w:after="160" w:before="360"/>
      </w:pPr>
      <w:r>
        <w:rPr>
          <w:rFonts w:ascii="Calibri" w:cs="Calibri" w:eastAsia="Calibri" w:hAnsi="Calibri"/>
          <w:b/>
          <w:bCs/>
          <w:color w:val="2C5AA0"/>
          <w:sz w:val="26"/>
          <w:szCs w:val="26"/>
        </w:rPr>
        <w:t xml:space="preserve">Aansluiting op deel 17</w:t>
      </w:r>
    </w:p>
    <w:p>
      <w:pPr>
        <w:spacing w:after="180" w:line="300"/>
        <w:jc w:val="both"/>
      </w:pPr>
      <w:r>
        <w:rPr>
          <w:rFonts w:ascii="Calibri" w:cs="Calibri" w:eastAsia="Calibri" w:hAnsi="Calibri"/>
          <w:color w:val="1A1A1A"/>
          <w:sz w:val="21"/>
          <w:szCs w:val="21"/>
        </w:rPr>
        <w:t xml:space="preserve">Sluit af met: de gedeelde-leveranciersrisico-bow-tie uit opdracht 16.1 liet zien dat de twee gevolgen eigenlijk bij twee verschillende projecten horen. Dat is precies de vraag die deel 17 nu oplost: wie is eigenaar van een risico dat niet bij één project hoort, en waarom mag je risicoscores over projecten heen niet zomaar bij elkaar optellen?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2026-08-17T06:19:31.298Z</dcterms:created>
  <dcterms:modified xsi:type="dcterms:W3CDTF">2026-08-17T06:19:31.299Z</dcterms:modified>
</cp:coreProperties>
</file>

<file path=docProps/custom.xml><?xml version="1.0" encoding="utf-8"?>
<Properties xmlns="http://schemas.openxmlformats.org/officeDocument/2006/custom-properties" xmlns:vt="http://schemas.openxmlformats.org/officeDocument/2006/docPropsVTypes"/>
</file>