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16 — Bow-tie-analyse: oorzaken, gevolgen en barrières die je test</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16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16.1 — Bouw een bow-tie</w:t>
      </w:r>
    </w:p>
    <w:p>
      <w:pPr>
        <w:spacing w:after="180" w:line="300"/>
        <w:jc w:val="both"/>
      </w:pPr>
      <w:r>
        <w:rPr>
          <w:rFonts w:ascii="Calibri" w:cs="Calibri" w:eastAsia="Calibri" w:hAnsi="Calibri"/>
          <w:color w:val="1A1A1A"/>
          <w:sz w:val="21"/>
          <w:szCs w:val="21"/>
        </w:rPr>
        <w:t xml:space="preserve">Kies een risico uit je eigen praktijk (of gebruik een van de acht risico's uit deel 13). Bouw een bow-tie met minstens twee dreigingen en twee gevolgen, elk met een barrière.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Ter kalibratie, een uitwerking op het gedeelde-leveranciersrisico uit deel 13 (P1/P4, communicatieplatform):
Centrale gebeurtenis: de externe leverancier van het communicatieplatform kan de gecombineerde vraag van Project 1 en Project 4 niet aan.
Dreigingen: (1) beide projecten plannen hun livegang in dezelfde maand zonder onderlinge afstemming — barrière: een gedeelde leverancierskalender, bijgehouden door Sanne; (2) de leverancier zelf heeft een onderbezetting door eigen personeelsverloop — barrière: contractuele capaciteitsgarantie met boeteclausule.
Gevolgen: (1) vertraging in de portaallancering (P1) — barrière: een uitwijkscenario met een tweede, kleinere leverancier voor noodgevallen; (2) vertraging in de deelnemerscommunicatie (P4) — barrière: een handmatig proces als tijdelijke terugval.
Wat je hier moet meenemen: merk op dat de twee gevolgen hier eigenlijk bij twee verschillende projecten horen — dit is precies het soort risico waarvoor deel 17 een oplossing voor eigenaarschap biedt.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16.2 — Opzet of werking?</w:t>
      </w:r>
    </w:p>
    <w:p>
      <w:pPr>
        <w:spacing w:after="180" w:line="300"/>
        <w:jc w:val="both"/>
      </w:pPr>
      <w:r>
        <w:rPr>
          <w:rFonts w:ascii="Calibri" w:cs="Calibri" w:eastAsia="Calibri" w:hAnsi="Calibri"/>
          <w:color w:val="1A1A1A"/>
          <w:sz w:val="21"/>
          <w:szCs w:val="21"/>
        </w:rPr>
        <w:t xml:space="preserve">Voor elk van de volgende uitspraken: gaat dit over opzeteffectiviteit, werkingseffectiviteit, of allebei?</w:t>
      </w:r>
    </w:p>
    <w:p>
      <w:pPr>
        <w:spacing w:after="180" w:line="300"/>
        <w:jc w:val="both"/>
      </w:pPr>
      <w:r>
        <w:rPr>
          <w:rFonts w:ascii="Calibri" w:cs="Calibri" w:eastAsia="Calibri" w:hAnsi="Calibri"/>
          <w:color w:val="1A1A1A"/>
          <w:sz w:val="21"/>
          <w:szCs w:val="21"/>
        </w:rPr>
        <w:t xml:space="preserve">a. ‘Het proces beschrijft dat elke mutatie boven €10.000 een tweede goedkeuring vereist.’</w:t>
      </w:r>
    </w:p>
    <w:p>
      <w:pPr>
        <w:spacing w:after="180" w:line="300"/>
        <w:jc w:val="both"/>
      </w:pPr>
      <w:r>
        <w:rPr>
          <w:rFonts w:ascii="Calibri" w:cs="Calibri" w:eastAsia="Calibri" w:hAnsi="Calibri"/>
          <w:color w:val="1A1A1A"/>
          <w:sz w:val="21"/>
          <w:szCs w:val="21"/>
        </w:rPr>
        <w:t xml:space="preserve">b. ‘We hebben de afgelopen drie maanden gecontroleerd en in alle dertig gevallen boven €10.000 was er daadwerkelijk een tweede goedkeuring vastgelegd.’</w:t>
      </w:r>
    </w:p>
    <w:p>
      <w:pPr>
        <w:spacing w:after="180" w:line="300"/>
        <w:jc w:val="both"/>
      </w:pPr>
      <w:r>
        <w:rPr>
          <w:rFonts w:ascii="Calibri" w:cs="Calibri" w:eastAsia="Calibri" w:hAnsi="Calibri"/>
          <w:color w:val="1A1A1A"/>
          <w:sz w:val="21"/>
          <w:szCs w:val="21"/>
        </w:rPr>
        <w:t xml:space="preserve">c. ‘De tweede-goedkeuring-eis staat correct beschreven in het proceshandboek, maar niemand heeft ooit gecontroleerd of hij ook wordt toegepast.’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Opzeteffectiviteit. Een beschrijving van het ontwerp, geen uitspraak over de praktijk.
b. Werkingseffectiviteit. Een concrete toets, met steekproef, die aantoont dat de barrière in de praktijk functioneert.
c. Alleen opzeteffectiviteit bevestigd — werkingseffectiviteit onbekend. Dit is exact de situatie van de validatiecontrole in paragraaf 16.0: een goed ontwerp, nooit getoetst op werking.
Discussiepunt bij c: vraag de groep wat de status van deze maatregel zou moeten zijn in het register (deel 7, niveau 1) — het antwoord is dat de residuele score niet mag uitgaan van een werkende maatregel totdat de werking is aangetoond; tot die tijd is de score effectief nog de inherente score.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16.3 — Kies een toetsmethode</w:t>
      </w:r>
    </w:p>
    <w:p>
      <w:pPr>
        <w:spacing w:after="180" w:line="300"/>
        <w:jc w:val="both"/>
      </w:pPr>
      <w:r>
        <w:rPr>
          <w:rFonts w:ascii="Calibri" w:cs="Calibri" w:eastAsia="Calibri" w:hAnsi="Calibri"/>
          <w:color w:val="1A1A1A"/>
          <w:sz w:val="21"/>
          <w:szCs w:val="21"/>
        </w:rPr>
        <w:t xml:space="preserve">Voor elk van de volgende barrières: welke van de drie toetsmethoden uit paragraaf 16.4 (steekproef, walkthrough, doorlopende KRI) is het meest geschikt, en waarom?</w:t>
      </w:r>
    </w:p>
    <w:p>
      <w:pPr>
        <w:spacing w:after="180" w:line="300"/>
        <w:jc w:val="both"/>
      </w:pPr>
      <w:r>
        <w:rPr>
          <w:rFonts w:ascii="Calibri" w:cs="Calibri" w:eastAsia="Calibri" w:hAnsi="Calibri"/>
          <w:color w:val="1A1A1A"/>
          <w:sz w:val="21"/>
          <w:szCs w:val="21"/>
        </w:rPr>
        <w:t xml:space="preserve">a. Een geautomatiseerde controle die elke dag duizenden transacties verwerkt.</w:t>
      </w:r>
    </w:p>
    <w:p>
      <w:pPr>
        <w:spacing w:after="180" w:line="300"/>
        <w:jc w:val="both"/>
      </w:pPr>
      <w:r>
        <w:rPr>
          <w:rFonts w:ascii="Calibri" w:cs="Calibri" w:eastAsia="Calibri" w:hAnsi="Calibri"/>
          <w:color w:val="1A1A1A"/>
          <w:sz w:val="21"/>
          <w:szCs w:val="21"/>
        </w:rPr>
        <w:t xml:space="preserve">b. Een handmatige goedkeuringsstap die slechts een paar keer per maand voorkomt.</w:t>
      </w:r>
    </w:p>
    <w:p>
      <w:pPr>
        <w:spacing w:after="180" w:line="300"/>
        <w:jc w:val="both"/>
      </w:pPr>
      <w:r>
        <w:rPr>
          <w:rFonts w:ascii="Calibri" w:cs="Calibri" w:eastAsia="Calibri" w:hAnsi="Calibri"/>
          <w:color w:val="1A1A1A"/>
          <w:sz w:val="21"/>
          <w:szCs w:val="21"/>
        </w:rPr>
        <w:t xml:space="preserve">c. Een nieuw ingerichte controle waarvan je snel, zonder veel voorbereiding, een eerste indruk wilt krijgen of hij logisch werkt.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Doorlopende KRI. Bij hoog volume is een periodieke steekproef minder efficiënt dan een continue indicator die afwijkingen automatisch signaleert.
b. Steekproef. Bij een laag volume is het praktisch haalbaar om alle of vrijwel alle gevallen te controleren, wat een steekproef bijzonder betrouwbaar maakt.
c. Walkthrough. Snel, weinig voorbereiding, geschikt als eerste, verkennende toets vóórdat een uitgebreidere steekproef de moeite waard is.
Wat je hier moet meenemen: de keuze van toetsmethode hangt af van volume en doel — er is geen universeel beste methode, net zoals er in deel 4 (niveau 1) geen universeel beste identificatietechniek was.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16.4 — Vind de escalatiefactor</w:t>
      </w:r>
    </w:p>
    <w:p>
      <w:pPr>
        <w:spacing w:after="180" w:line="300"/>
        <w:jc w:val="both"/>
      </w:pPr>
      <w:r>
        <w:rPr>
          <w:rFonts w:ascii="Calibri" w:cs="Calibri" w:eastAsia="Calibri" w:hAnsi="Calibri"/>
          <w:color w:val="1A1A1A"/>
          <w:sz w:val="21"/>
          <w:szCs w:val="21"/>
        </w:rPr>
        <w:t xml:space="preserve">Twee, ogenschijnlijk onafhankelijke barrières falen in dezelfde maand: de validatiecontrole bij Project 2 laat een fout door, en de steekproefcontrole bij Project 3 wordt die maand niet uitgevoerd. Bij onderzoek blijkt dat beide teams tijdelijk zijn onderbezet omdat drie ervaren testers tegelijk met verlof waren, gepland vóórdat de huidige planningsdruk bekend was. Is dit een toevallige samenloop, of wijst dit op een escalatiefactor? Onderbouw.</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Dit wijst op een escalatiefactor: een gedeelde onderliggende oorzaak (de gelijktijdige afwezigheid van testcapaciteit, mogelijk gekoppeld aan een structureel probleem met hoe verlofplanning en projectplanning op elkaar worden afgestemd) die twee, op het eerste gezicht onafhankelijke barrières tegelijk heeft verzwakt. Het is geen toeval in de zin van willekeur — er is een aanwijsbare, gemeenschappelijke reden.
De juiste vervolgstap is niet alleen de twee individuele barrières herstellen (de fout corrigeren, de gemiste steekproef alsnog uitvoeren), maar de escalatiefactor zelf als aparte risico-ingang vastleggen: bijvoorbeeld ‘onvoldoende afstemming tussen verlofplanning en kritieke controlemomenten over projecten heen’ — met een eigen respons, zoals een gedeelde capaciteitskalender voor kritieke controlefuncties.
Wat je hier moet meenemen: dit is precies de valkuil die paragraaf 16.5 beschrijft — als je alleen de twee individuele barrières herstelt zonder de escalatiefactor te adresseren, zal dezelfde onderliggende oorzaak op een ander moment opnieuw meerdere barrières tegelijk kunnen verzwakken.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16</w:t>
      </w:r>
    </w:p>
    <w:p>
      <w:pPr>
        <w:pStyle w:val="ListParagraph"/>
        <w:numPr>
          <w:ilvl w:val="0"/>
          <w:numId w:val="2"/>
        </w:numPr>
        <w:spacing w:after="100" w:line="280"/>
      </w:pPr>
      <w:r>
        <w:rPr>
          <w:rFonts w:ascii="Calibri" w:cs="Calibri" w:eastAsia="Calibri" w:hAnsi="Calibri"/>
          <w:color w:val="1A1A1A"/>
          <w:sz w:val="21"/>
          <w:szCs w:val="21"/>
        </w:rPr>
        <w:t xml:space="preserve">1. Uit welke drie onderdelen bestaat een bow-tie-diagram?</w:t>
      </w:r>
    </w:p>
    <w:p>
      <w:pPr>
        <w:pStyle w:val="ListParagraph"/>
        <w:numPr>
          <w:ilvl w:val="0"/>
          <w:numId w:val="2"/>
        </w:numPr>
        <w:spacing w:after="100" w:line="280"/>
      </w:pPr>
      <w:r>
        <w:rPr>
          <w:rFonts w:ascii="Calibri" w:cs="Calibri" w:eastAsia="Calibri" w:hAnsi="Calibri"/>
          <w:color w:val="1A1A1A"/>
          <w:sz w:val="21"/>
          <w:szCs w:val="21"/>
        </w:rPr>
        <w:t xml:space="preserve">2. Wat is het verschil met de risicozin uit deel 1 (niveau 1), en wanneer is een bow-tie een beter instrument?</w:t>
      </w:r>
    </w:p>
    <w:p>
      <w:pPr>
        <w:pStyle w:val="ListParagraph"/>
        <w:numPr>
          <w:ilvl w:val="0"/>
          <w:numId w:val="2"/>
        </w:numPr>
        <w:spacing w:after="100" w:line="280"/>
      </w:pPr>
      <w:r>
        <w:rPr>
          <w:rFonts w:ascii="Calibri" w:cs="Calibri" w:eastAsia="Calibri" w:hAnsi="Calibri"/>
          <w:color w:val="1A1A1A"/>
          <w:sz w:val="21"/>
          <w:szCs w:val="21"/>
        </w:rPr>
        <w:t xml:space="preserve">3. Wat is het verschil tussen opzeteffectiviteit en werkingseffectiviteit?</w:t>
      </w:r>
    </w:p>
    <w:p>
      <w:pPr>
        <w:pStyle w:val="ListParagraph"/>
        <w:numPr>
          <w:ilvl w:val="0"/>
          <w:numId w:val="2"/>
        </w:numPr>
        <w:spacing w:after="100" w:line="280"/>
      </w:pPr>
      <w:r>
        <w:rPr>
          <w:rFonts w:ascii="Calibri" w:cs="Calibri" w:eastAsia="Calibri" w:hAnsi="Calibri"/>
          <w:color w:val="1A1A1A"/>
          <w:sz w:val="21"/>
          <w:szCs w:val="21"/>
        </w:rPr>
        <w:t xml:space="preserve">4. Wat is kernzin 10?</w:t>
      </w:r>
    </w:p>
    <w:p>
      <w:pPr>
        <w:pStyle w:val="ListParagraph"/>
        <w:numPr>
          <w:ilvl w:val="0"/>
          <w:numId w:val="2"/>
        </w:numPr>
        <w:spacing w:after="100" w:line="280"/>
      </w:pPr>
      <w:r>
        <w:rPr>
          <w:rFonts w:ascii="Calibri" w:cs="Calibri" w:eastAsia="Calibri" w:hAnsi="Calibri"/>
          <w:color w:val="1A1A1A"/>
          <w:sz w:val="21"/>
          <w:szCs w:val="21"/>
        </w:rPr>
        <w:t xml:space="preserve">5. Noem de drie manieren om werkingseffectiviteit te toetsen, en wanneer gebruik je welke?</w:t>
      </w:r>
    </w:p>
    <w:p>
      <w:pPr>
        <w:pStyle w:val="ListParagraph"/>
        <w:numPr>
          <w:ilvl w:val="0"/>
          <w:numId w:val="2"/>
        </w:numPr>
        <w:spacing w:after="100" w:line="280"/>
      </w:pPr>
      <w:r>
        <w:rPr>
          <w:rFonts w:ascii="Calibri" w:cs="Calibri" w:eastAsia="Calibri" w:hAnsi="Calibri"/>
          <w:color w:val="1A1A1A"/>
          <w:sz w:val="21"/>
          <w:szCs w:val="21"/>
        </w:rPr>
        <w:t xml:space="preserve">6. Wat is een escalatiefactor, en hoe verhoudt dit begrip zich tot correlatie uit deel 15?</w:t>
      </w:r>
    </w:p>
    <w:p>
      <w:pPr>
        <w:pStyle w:val="ListParagraph"/>
        <w:numPr>
          <w:ilvl w:val="0"/>
          <w:numId w:val="2"/>
        </w:numPr>
        <w:spacing w:after="100" w:line="280"/>
      </w:pPr>
      <w:r>
        <w:rPr>
          <w:rFonts w:ascii="Calibri" w:cs="Calibri" w:eastAsia="Calibri" w:hAnsi="Calibri"/>
          <w:color w:val="1A1A1A"/>
          <w:sz w:val="21"/>
          <w:szCs w:val="21"/>
        </w:rPr>
        <w:t xml:space="preserve">7. Wat ontdekte Sanne bij de steekproef op de validatiecontrole, en wat zegt dat over hoe lang een niet-geteste maatregel onopgemerkt kan blijven?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Dreigingen (links, met preventieve barrières), de centrale gebeurtenis (het risico), en gevolgen (rechts, met mitigerende barrières).</w:t>
      </w:r>
    </w:p>
    <w:p>
      <w:pPr>
        <w:spacing w:after="180" w:line="300"/>
        <w:jc w:val="both"/>
      </w:pPr>
      <w:r>
        <w:rPr>
          <w:rFonts w:ascii="Calibri" w:cs="Calibri" w:eastAsia="Calibri" w:hAnsi="Calibri"/>
          <w:color w:val="1A1A1A"/>
          <w:sz w:val="21"/>
          <w:szCs w:val="21"/>
        </w:rPr>
        <w:t xml:space="preserve">2. De risicozin legt één oorzaak, één gebeurtenis, één gevolg lineair vast; een bow-tie is beter bij risico's met meerdere, verschillende dreigingen en/of meerdere, verschillende gevolgen die elk een eigen barrière verdienen.</w:t>
      </w:r>
    </w:p>
    <w:p>
      <w:pPr>
        <w:spacing w:after="180" w:line="300"/>
        <w:jc w:val="both"/>
      </w:pPr>
      <w:r>
        <w:rPr>
          <w:rFonts w:ascii="Calibri" w:cs="Calibri" w:eastAsia="Calibri" w:hAnsi="Calibri"/>
          <w:color w:val="1A1A1A"/>
          <w:sz w:val="21"/>
          <w:szCs w:val="21"/>
        </w:rPr>
        <w:t xml:space="preserve">3. Opzeteffectiviteit is of de barrière, zoals ontworpen, in theorie geschikt is; werkingseffectiviteit is of ze ook daadwerkelijk, in de praktijk, functioneert — vastgesteld door te testen, niet door het ontwerp te beoordelen.</w:t>
      </w:r>
    </w:p>
    <w:p>
      <w:pPr>
        <w:spacing w:after="180" w:line="300"/>
        <w:jc w:val="both"/>
      </w:pPr>
      <w:r>
        <w:rPr>
          <w:rFonts w:ascii="Calibri" w:cs="Calibri" w:eastAsia="Calibri" w:hAnsi="Calibri"/>
          <w:color w:val="1A1A1A"/>
          <w:sz w:val="21"/>
          <w:szCs w:val="21"/>
        </w:rPr>
        <w:t xml:space="preserve">4. Een maatregel die nooit op werking is getoetst, is geen beheersing — het is hoop met een naam erop.</w:t>
      </w:r>
    </w:p>
    <w:p>
      <w:pPr>
        <w:spacing w:after="180" w:line="300"/>
        <w:jc w:val="both"/>
      </w:pPr>
      <w:r>
        <w:rPr>
          <w:rFonts w:ascii="Calibri" w:cs="Calibri" w:eastAsia="Calibri" w:hAnsi="Calibri"/>
          <w:color w:val="1A1A1A"/>
          <w:sz w:val="21"/>
          <w:szCs w:val="21"/>
        </w:rPr>
        <w:t xml:space="preserve">5. Steekproef (geschikt bij lager volume of als representatieve controle), walkthrough (snel, verkennend, weinig voorbereiding), doorlopende KRI (geschikt bij hoog volume, continue signalering).</w:t>
      </w:r>
    </w:p>
    <w:p>
      <w:pPr>
        <w:spacing w:after="180" w:line="300"/>
        <w:jc w:val="both"/>
      </w:pPr>
      <w:r>
        <w:rPr>
          <w:rFonts w:ascii="Calibri" w:cs="Calibri" w:eastAsia="Calibri" w:hAnsi="Calibri"/>
          <w:color w:val="1A1A1A"/>
          <w:sz w:val="21"/>
          <w:szCs w:val="21"/>
        </w:rPr>
        <w:t xml:space="preserve">6. Een escalatiefactor is een omstandigheid die niet zelf een dreiging is, maar die meerdere barrières tegelijk kan uitschakelen — dezelfde logica als correlatie in de Monte Carlo-simulatie (deel 15), nu toegepast op beheersmaatregelen in plaats van op onzekere uitkomsten.</w:t>
      </w:r>
    </w:p>
    <w:p>
      <w:pPr>
        <w:spacing w:after="180" w:line="300"/>
        <w:jc w:val="both"/>
      </w:pPr>
      <w:r>
        <w:rPr>
          <w:rFonts w:ascii="Calibri" w:cs="Calibri" w:eastAsia="Calibri" w:hAnsi="Calibri"/>
          <w:color w:val="1A1A1A"/>
          <w:sz w:val="21"/>
          <w:szCs w:val="21"/>
        </w:rPr>
        <w:t xml:space="preserve">7. De controle werkte in twee van drie geconstateerde fouten, maar in het derde geval niet — een software-update had zes maanden eerder stilzwijgend validatieregels uitgeschakeld, en niemand had dit gemerkt omdat niemand ooit had getest. Dit laat zien dat een niet-geteste maatregel voor onbepaalde tijd kan ‘bestaan’ zonder daadwerkelijk te functioneren.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2026-08-17T06:19:31.128Z</dcterms:created>
  <dcterms:modified xsi:type="dcterms:W3CDTF">2026-08-17T06:19:31.129Z</dcterms:modified>
</cp:coreProperties>
</file>

<file path=docProps/custom.xml><?xml version="1.0" encoding="utf-8"?>
<Properties xmlns="http://schemas.openxmlformats.org/officeDocument/2006/custom-properties" xmlns:vt="http://schemas.openxmlformats.org/officeDocument/2006/docPropsVTypes"/>
</file>