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17 — Geaggregeerd risico en risico in verschillende leveringsmodellen</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17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lost een spanning op die sinds deel 13 bewust is opengehouden — dat ‘openhouden’ was een didactische keuze, en dit deel is de betaling van die belofte. Herinner deelnemers er expliciet aan dat de eigenaarsvraag al vier delen geleden is gesteld; dat vergroot de voldoening van de oplossing en onderstreept dat de cursusstructuur doelbewust is opgebouwd.</w:t>
      </w:r>
    </w:p>
    <w:p>
      <w:pPr>
        <w:spacing w:after="180" w:line="300"/>
        <w:jc w:val="both"/>
      </w:pPr>
      <w:r>
        <w:rPr>
          <w:rFonts w:ascii="Calibri" w:cs="Calibri" w:eastAsia="Calibri" w:hAnsi="Calibri"/>
          <w:color w:val="1A1A1A"/>
          <w:sz w:val="21"/>
          <w:szCs w:val="21"/>
        </w:rPr>
        <w:t xml:space="preserve">Dit is ook het deel dat, meer dan enig ander in dit niveau, de vier onderwerpen uit PM-cursus deel 18 (aangekondigd in deel 11) daadwerkelijk afrondt: geaggregeerd risico is hier het hoofdonderwerp, en cross-project escalatie lost de laatste losse draad op.</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drie redenen benoemen waarom risicoscores over projecten heen optellen problematisch is, elk gekoppeld aan een eerder deel</w:t>
      </w:r>
    </w:p>
    <w:p>
      <w:pPr>
        <w:pStyle w:val="ListParagraph"/>
        <w:numPr>
          <w:ilvl w:val="0"/>
          <w:numId w:val="2"/>
        </w:numPr>
        <w:spacing w:after="100" w:line="280"/>
      </w:pPr>
      <w:r>
        <w:rPr>
          <w:rFonts w:ascii="Calibri" w:cs="Calibri" w:eastAsia="Calibri" w:hAnsi="Calibri"/>
          <w:color w:val="1A1A1A"/>
          <w:sz w:val="21"/>
          <w:szCs w:val="21"/>
        </w:rPr>
        <w:t xml:space="preserve">gemeenschappelijke-oorzaakanalyse toepassen om risico's naar onderliggende oorzaak te clusteren in plaats van naar project</w:t>
      </w:r>
    </w:p>
    <w:p>
      <w:pPr>
        <w:pStyle w:val="ListParagraph"/>
        <w:numPr>
          <w:ilvl w:val="0"/>
          <w:numId w:val="2"/>
        </w:numPr>
        <w:spacing w:after="100" w:line="280"/>
      </w:pPr>
      <w:r>
        <w:rPr>
          <w:rFonts w:ascii="Calibri" w:cs="Calibri" w:eastAsia="Calibri" w:hAnsi="Calibri"/>
          <w:color w:val="1A1A1A"/>
          <w:sz w:val="21"/>
          <w:szCs w:val="21"/>
        </w:rPr>
        <w:t xml:space="preserve">concentratierisico herkennen als een aanvullende invalshoek naast gemeenschappelijke-oorzaakanalyse</w:t>
      </w:r>
    </w:p>
    <w:p>
      <w:pPr>
        <w:pStyle w:val="ListParagraph"/>
        <w:numPr>
          <w:ilvl w:val="0"/>
          <w:numId w:val="2"/>
        </w:numPr>
        <w:spacing w:after="100" w:line="280"/>
      </w:pPr>
      <w:r>
        <w:rPr>
          <w:rFonts w:ascii="Calibri" w:cs="Calibri" w:eastAsia="Calibri" w:hAnsi="Calibri"/>
          <w:color w:val="1A1A1A"/>
          <w:sz w:val="21"/>
          <w:szCs w:val="21"/>
        </w:rPr>
        <w:t xml:space="preserve">de vastgestelde regel voor eigenaarschap van grensoverschrijdende risico's toepassen op een gegeven situatie</w:t>
      </w:r>
    </w:p>
    <w:p>
      <w:pPr>
        <w:pStyle w:val="ListParagraph"/>
        <w:numPr>
          <w:ilvl w:val="0"/>
          <w:numId w:val="2"/>
        </w:numPr>
        <w:spacing w:after="100" w:line="280"/>
      </w:pPr>
      <w:r>
        <w:rPr>
          <w:rFonts w:ascii="Calibri" w:cs="Calibri" w:eastAsia="Calibri" w:hAnsi="Calibri"/>
          <w:color w:val="1A1A1A"/>
          <w:sz w:val="21"/>
          <w:szCs w:val="21"/>
        </w:rPr>
        <w:t xml:space="preserve">uitleggen waarom verschillende leveringsmodellen tot een verschillend, maar even geldig, ‘leeftijd’-profiel van risico's leiden</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 vraag die vier delen heeft opengestaan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0:15–0:40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Waarom optellen niet mag — drie redenen</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5–9, opdracht 17.1</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0:40–1:10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Gemeenschappelijke-oorzaakanalyse, de drie clusters</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10–13</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1:10–1:25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1:25–1:50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17.2</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1:50–2:10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Concentratierisico</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14–15</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2:10–2:25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2:25–2:55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Cross-project escalatie: de oplossing van het eigenaarsvraagstuk</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16–19, opdracht 17.3</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2:55–3:15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Risico in verschillende leveringsmodellen, opdracht 17.4</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20–22</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3:15–3:30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18</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 23</w:t>
            </w:r>
          </w:p>
        </w:tc>
      </w:tr>
    </w:tbl>
    <w:p>
      <w:pPr>
        <w:spacing w:after="180" w:line="300"/>
        <w:jc w:val="both"/>
      </w:pPr>
      <w:r>
        <w:rPr>
          <w:rFonts w:ascii="Calibri" w:cs="Calibri" w:eastAsia="Calibri" w:hAnsi="Calibri"/>
          <w:color w:val="1A1A1A"/>
          <w:sz w:val="21"/>
          <w:szCs w:val="21"/>
        </w:rPr>
        <w:t xml:space="preserve">Huiswerk voor deel 18: geen nieuwe formele opdracht; vraag deelnemers een eigen, potentieel IT- of cybergerelateerd risico uit hun praktijk te identificeren — dit materiaal wordt in deel 18 gebruikt.</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drie redenen tegen optellen als losse feitjes presenteren, zonder de onderliggende eenheid. Alle drie komen terug op hetzelfde punt — risico's worden ten onrechte als onafhankelijk behandeld. Maak dat verband expliciet, het versterkt het onthouden aanzienlijk.</w:t>
      </w:r>
    </w:p>
    <w:p>
      <w:pPr>
        <w:pStyle w:val="ListParagraph"/>
        <w:numPr>
          <w:ilvl w:val="0"/>
          <w:numId w:val="2"/>
        </w:numPr>
        <w:spacing w:after="100" w:line="280"/>
      </w:pPr>
      <w:r>
        <w:rPr>
          <w:rFonts w:ascii="Calibri" w:cs="Calibri" w:eastAsia="Calibri" w:hAnsi="Calibri"/>
          <w:color w:val="1A1A1A"/>
          <w:sz w:val="21"/>
          <w:szCs w:val="21"/>
        </w:rPr>
        <w:t xml:space="preserve">Gemeenschappelijke-oorzaakanalyse als eenmalige exercitie presenteren. Net als het register zelf (deel 7, niveau 1) is dit een periodiek terugkerende praktijk — clusters kunnen veranderen naarmate het programma vordert en nieuwe risico's worden toegevoegd.</w:t>
      </w:r>
    </w:p>
    <w:p>
      <w:pPr>
        <w:pStyle w:val="ListParagraph"/>
        <w:numPr>
          <w:ilvl w:val="0"/>
          <w:numId w:val="2"/>
        </w:numPr>
        <w:spacing w:after="100" w:line="280"/>
      </w:pPr>
      <w:r>
        <w:rPr>
          <w:rFonts w:ascii="Calibri" w:cs="Calibri" w:eastAsia="Calibri" w:hAnsi="Calibri"/>
          <w:color w:val="1A1A1A"/>
          <w:sz w:val="21"/>
          <w:szCs w:val="21"/>
        </w:rPr>
        <w:t xml:space="preserve">Het eigenaarschapsvraagstuk te snel, te simpel oplossen. Zorg dat de nuance van Figuur 17-2 goed landt: het is niet ‘Sanne wordt eigenaar van alles wat grensoverschrijdend is’ (dat zou het eerste-lijns-principe ondermijnen, zie deel 9 niveau 1), en het is ook niet ‘altijd de Programme Manager’ (gezamenlijk eigenaarschap door projectmanagers is de eerste, lichtere optie). Loop de beslisboom expliciet stap voor stap door.</w:t>
      </w:r>
    </w:p>
    <w:p>
      <w:pPr>
        <w:pStyle w:val="ListParagraph"/>
        <w:numPr>
          <w:ilvl w:val="0"/>
          <w:numId w:val="2"/>
        </w:numPr>
        <w:spacing w:after="100" w:line="280"/>
      </w:pPr>
      <w:r>
        <w:rPr>
          <w:rFonts w:ascii="Calibri" w:cs="Calibri" w:eastAsia="Calibri" w:hAnsi="Calibri"/>
          <w:color w:val="1A1A1A"/>
          <w:sz w:val="21"/>
          <w:szCs w:val="21"/>
        </w:rPr>
        <w:t xml:space="preserve">Paragraaf 17.5 (leveringsmodellen) te uitgebreid behandelen. Dit onderdeel is bewust korter gehouden dan de rest van het deel, met expliciete verwijzing naar de scrum- en SAFe-cursussen voor wie dieper wil. Voorkom dat het dagdeel hier uitloopt ten koste van de eigenaarschapsdiscussie, die het zwaartepunt van dit deel is.</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die ook de scrum- of SAFe-cursus hebben gevolgd herkennen ROAM en de agile-versus-gefaseerd-spanning uit paragraaf 17.5 snel. Gebruik hen als resource bij die paragraaf, maar houd de discussie kort — het zwaartepunt van het dagdeel ligt elders.</w:t>
      </w:r>
    </w:p>
    <w:p>
      <w:pPr>
        <w:spacing w:after="180" w:line="300"/>
        <w:jc w:val="both"/>
      </w:pPr>
      <w:r>
        <w:rPr>
          <w:rFonts w:ascii="Calibri" w:cs="Calibri" w:eastAsia="Calibri" w:hAnsi="Calibri"/>
          <w:color w:val="1A1A1A"/>
          <w:sz w:val="21"/>
          <w:szCs w:val="21"/>
        </w:rPr>
        <w:t xml:space="preserve">Deelnemers met een data- of analytics-achtergrond herkennen gemeenschappelijke-oorzaakanalyse mogelijk als vergelijkbaar met clusteranalyse of wortelanalyse uit hun eigen vakgebied. Gebruik hun taal om de techniek voor de rest van de groep toegankelijker te maken.</w:t>
      </w:r>
    </w:p>
    <w:p>
      <w:pPr>
        <w:spacing w:after="180" w:line="300"/>
        <w:jc w:val="both"/>
      </w:pPr>
      <w:r>
        <w:rPr>
          <w:rFonts w:ascii="Calibri" w:cs="Calibri" w:eastAsia="Calibri" w:hAnsi="Calibri"/>
          <w:color w:val="1A1A1A"/>
          <w:sz w:val="21"/>
          <w:szCs w:val="21"/>
        </w:rPr>
        <w:t xml:space="preserve">Deelnemers uit een sterk hiërarchische organisatie kunnen moeite hebben met het idee van ‘gezamenlijk eigenaarschap zonder escalatie’ (paragraaf 17.4, onderdeel b) — hun instinct is vaak dat elk grensoverschrijdend probleem naar boven moet. Gebruik dit als leermoment: escalatie is geen doel op zich, het is een instrument voor wanneer eigen oplossend vermogen tekortschiet.</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Ken je, in jouw organisatie, een voorbeeld waarin meerdere, schijnbaar losse problemen achteraf bleken terug te voeren op dezelfde onderliggende oorzaak? Was dat patroon op tijd herkend?</w:t>
      </w:r>
    </w:p>
    <w:p>
      <w:pPr>
        <w:pStyle w:val="ListParagraph"/>
        <w:numPr>
          <w:ilvl w:val="0"/>
          <w:numId w:val="2"/>
        </w:numPr>
        <w:spacing w:after="100" w:line="280"/>
      </w:pPr>
      <w:r>
        <w:rPr>
          <w:rFonts w:ascii="Calibri" w:cs="Calibri" w:eastAsia="Calibri" w:hAnsi="Calibri"/>
          <w:color w:val="1A1A1A"/>
          <w:sz w:val="21"/>
          <w:szCs w:val="21"/>
        </w:rPr>
        <w:t xml:space="preserve">Is er in jouw organisatie een vorm van concentratierisico (één leverancier, één systeem, één persoon) die individueel gezien niet als ‘hoog risico’ wordt gemarkeerd, maar die bij nader inzien een aanzienlijke blootstelling vertegenwoordigt?</w:t>
      </w:r>
    </w:p>
    <w:p>
      <w:pPr>
        <w:pStyle w:val="ListParagraph"/>
        <w:numPr>
          <w:ilvl w:val="0"/>
          <w:numId w:val="2"/>
        </w:numPr>
        <w:spacing w:after="100" w:line="280"/>
      </w:pPr>
      <w:r>
        <w:rPr>
          <w:rFonts w:ascii="Calibri" w:cs="Calibri" w:eastAsia="Calibri" w:hAnsi="Calibri"/>
          <w:color w:val="1A1A1A"/>
          <w:sz w:val="21"/>
          <w:szCs w:val="21"/>
        </w:rPr>
        <w:t xml:space="preserve">Wie zou in jouw organisatie de rol van ‘Programme Manager’ uit dit deel vervullen bij een risico dat twee afdelingen of teams tegelijk raakt — en is die rol op dit moment duidelijk aangewezen?</w:t>
      </w:r>
    </w:p>
    <w:p>
      <w:pPr>
        <w:pStyle w:val="Heading2"/>
        <w:spacing w:after="160" w:before="360"/>
      </w:pPr>
      <w:r>
        <w:rPr>
          <w:rFonts w:ascii="Calibri" w:cs="Calibri" w:eastAsia="Calibri" w:hAnsi="Calibri"/>
          <w:b/>
          <w:bCs/>
          <w:color w:val="2C5AA0"/>
          <w:sz w:val="26"/>
          <w:szCs w:val="26"/>
        </w:rPr>
        <w:t xml:space="preserve">Antwoordmodel voor de moeilijkste bespreking (opdracht 17.3, onderdeel c)</w:t>
      </w:r>
    </w:p>
    <w:p>
      <w:pPr>
        <w:spacing w:after="180" w:line="300"/>
        <w:jc w:val="both"/>
      </w:pPr>
      <w:r>
        <w:rPr>
          <w:rFonts w:ascii="Calibri" w:cs="Calibri" w:eastAsia="Calibri" w:hAnsi="Calibri"/>
          <w:color w:val="1A1A1A"/>
          <w:sz w:val="21"/>
          <w:szCs w:val="21"/>
        </w:rPr>
        <w:t xml:space="preserve">Deelnemers stellen bij onderdeel c soms voor dat Sanne de knoop moet doorhakken, omdat zij ‘toch de risico-expert is’. Weerleg dit expliciet door terug te grijpen op Kernzin 6: als Sanne zou beslissen, zou dat de facto beslissingsmacht zijn, niet mandaat — en dat ondermijnt precies het eerste-lijns-principe dat sinds deel 9 (niveau 1) is opgebouwd. Vraag door: wie draagt straks de gevolgen als de gekozen aanpak niet werkt? Dat moet de Programme Manager zijn, niet Sanne — en wie de gevolgen draagt, hoort ook de beslissing te nemen (met Sanne's ondersteuning: het bij elkaar brengen van de drie perspectieven, een heldere weergave van de opties en hun gevolgen, en eventueel een beslisboom of EMV-berekening uit deel 14 als hulpmiddel).</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Het netwerkdiagram (Figuur 17-1) als groot, geprojecteerd voorbeeld voor de uitleg van gemeenschappelijke-oorzaakanalyse.</w:t>
      </w:r>
    </w:p>
    <w:p>
      <w:pPr>
        <w:pStyle w:val="ListParagraph"/>
        <w:numPr>
          <w:ilvl w:val="0"/>
          <w:numId w:val="2"/>
        </w:numPr>
        <w:spacing w:after="100" w:line="280"/>
      </w:pPr>
      <w:r>
        <w:rPr>
          <w:rFonts w:ascii="Calibri" w:cs="Calibri" w:eastAsia="Calibri" w:hAnsi="Calibri"/>
          <w:color w:val="1A1A1A"/>
          <w:sz w:val="21"/>
          <w:szCs w:val="21"/>
        </w:rPr>
        <w:t xml:space="preserve">De beslisboom voor eigenaarschap (Figuur 17-2) als uitdeelblad, te gebruiken bij opdracht 17.3.</w:t>
      </w:r>
    </w:p>
    <w:p>
      <w:pPr>
        <w:pStyle w:val="ListParagraph"/>
        <w:numPr>
          <w:ilvl w:val="0"/>
          <w:numId w:val="2"/>
        </w:numPr>
        <w:spacing w:after="100" w:line="280"/>
      </w:pPr>
      <w:r>
        <w:rPr>
          <w:rFonts w:ascii="Calibri" w:cs="Calibri" w:eastAsia="Calibri" w:hAnsi="Calibri"/>
          <w:color w:val="1A1A1A"/>
          <w:sz w:val="21"/>
          <w:szCs w:val="21"/>
        </w:rPr>
        <w:t xml:space="preserve">Optioneel: laat deelnemers hun eigen matrix uit opdracht 13.2 (deel 13) erbij pakken en toetsen of er, met de kennis van dit deel, alsnog gemeenschappelijke oorzaken of concentratierisico's te ontdekken zijn die bij de eerste doorloop zijn gemist.</w:t>
      </w:r>
    </w:p>
    <w:p>
      <w:pPr>
        <w:pStyle w:val="Heading2"/>
        <w:spacing w:after="160" w:before="360"/>
      </w:pPr>
      <w:r>
        <w:rPr>
          <w:rFonts w:ascii="Calibri" w:cs="Calibri" w:eastAsia="Calibri" w:hAnsi="Calibri"/>
          <w:b/>
          <w:bCs/>
          <w:color w:val="2C5AA0"/>
          <w:sz w:val="26"/>
          <w:szCs w:val="26"/>
        </w:rPr>
        <w:t xml:space="preserve">Aansluiting op deel 18</w:t>
      </w:r>
    </w:p>
    <w:p>
      <w:pPr>
        <w:spacing w:after="180" w:line="300"/>
        <w:jc w:val="both"/>
      </w:pPr>
      <w:r>
        <w:rPr>
          <w:rFonts w:ascii="Calibri" w:cs="Calibri" w:eastAsia="Calibri" w:hAnsi="Calibri"/>
          <w:color w:val="1A1A1A"/>
          <w:sz w:val="21"/>
          <w:szCs w:val="21"/>
        </w:rPr>
        <w:t xml:space="preserve">Sluit af met: het cluster ‘externe leveranciersafhankelijkheid’ uit dit deel bevat, zonder dat het tot nu toe apart is benoemd, een specifiek soort risico dat in deze cursus een eigen deel verdient — IT- en cyberrisico. Deel 18 behandelt dit met een CRISC-georiënteerde blik en de DORA-mechaniek, het enige onderwerp in de cursus dat als geheel eigen deel is gekozen in plaats van als aanpalende vermelding.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2026-08-17T06:24:13.077Z</dcterms:created>
  <dcterms:modified xsi:type="dcterms:W3CDTF">2026-08-17T06:24:13.078Z</dcterms:modified>
</cp:coreProperties>
</file>

<file path=docProps/custom.xml><?xml version="1.0" encoding="utf-8"?>
<Properties xmlns="http://schemas.openxmlformats.org/officeDocument/2006/custom-properties" xmlns:vt="http://schemas.openxmlformats.org/officeDocument/2006/docPropsVTypes"/>
</file>