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17 — Geaggregeerd risico en risico in verschillende leveringsmodellen</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Werkboek</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17 — Werkboek</w:t>
      </w:r>
    </w:p>
    <w:p>
      <w:pPr>
        <w:spacing w:after="180" w:line="300"/>
        <w:jc w:val="both"/>
      </w:pPr>
      <w:r>
        <w:rPr>
          <w:rFonts w:ascii="Calibri" w:cs="Calibri" w:eastAsia="Calibri" w:hAnsi="Calibri"/>
          <w:i/>
          <w:iCs/>
          <w:color w:val="1A1A1A"/>
          <w:sz w:val="21"/>
          <w:szCs w:val="21"/>
        </w:rPr>
        <w:t xml:space="preserve">Werk de opdrachten uit vóórdat je de uitwerking leest.</w:t>
      </w:r>
    </w:p>
    <w:p>
      <w:pPr>
        <w:pStyle w:val="Heading2"/>
        <w:spacing w:after="160" w:before="360"/>
      </w:pPr>
      <w:r>
        <w:rPr>
          <w:rFonts w:ascii="Calibri" w:cs="Calibri" w:eastAsia="Calibri" w:hAnsi="Calibri"/>
          <w:b/>
          <w:bCs/>
          <w:color w:val="2C5AA0"/>
          <w:sz w:val="26"/>
          <w:szCs w:val="26"/>
        </w:rPr>
        <w:t xml:space="preserve">Opdracht 17.1 — Waarom niet optellen?</w:t>
      </w:r>
    </w:p>
    <w:p>
      <w:pPr>
        <w:spacing w:after="180" w:line="300"/>
        <w:jc w:val="both"/>
      </w:pPr>
      <w:r>
        <w:rPr>
          <w:rFonts w:ascii="Calibri" w:cs="Calibri" w:eastAsia="Calibri" w:hAnsi="Calibri"/>
          <w:color w:val="1A1A1A"/>
          <w:sz w:val="21"/>
          <w:szCs w:val="21"/>
        </w:rPr>
        <w:t xml:space="preserve">Een collega stelt voor om een ‘programmarisicoscore’ te berekenen door simpelweg de scores van alle risico's in alle vijf projectregisters bij elkaar op te tellen. Leg in eigen woorden de drie bezwaren tegen deze aanpak uit, elk met een korte verwijzing naar het deel waar het bezwaar vandaan komt.</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1. Ordinale schalen optellen is onbetrouwbaar — net zoals vermenigvuldigen van ordinale kans- en impactschalen tot schijngelijke scores voor fundamenteel verschillende risico's leidt (matrixvalkuil 1, deel 5, niveau 1), levert optellen van zulke scores een totaal op dat niet zinvol te interpreteren is: een totaalscore van 60 kan van alles betekenen.
2. Gemeenschappelijke oorzaken worden genegeerd — als meerdere geregistreerde risico's in werkelijkheid uit dezelfde onderliggende oorzaak voortkomen, telt optellen die oorzaak meerdere keren mee als losse risico's, wat het totaalbeeld zowel overdrijft (te veel schijnbaar losse risico's) als vertekent (de werkelijke concentratie blijft onzichtbaar) (deel 17, Kernzin 11).
3. Correlatie wordt genegeerd — zoals de Monte Carlo-simulatie in deel 15 liet zien, onderschat het behandelen van risico's als onafhankelijk de kans op gelijktijdige tegenslag; optellen doet impliciet precies dat.
Wat je hier moet meenemen: alle drie de bezwaren komen uiteindelijk neer op hetzelfde onderliggende probleem — een simpele optelling doet alsof risico's onafhankelijke, losstaande grootheden zijn, terwijl de werkelijkheid vol samenhang zit die juist het belangrijkste te vertellen heeft.</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17.2 — Clusteren naar oorzaak</w:t>
      </w:r>
    </w:p>
    <w:p>
      <w:pPr>
        <w:spacing w:after="180" w:line="300"/>
        <w:jc w:val="both"/>
      </w:pPr>
      <w:r>
        <w:rPr>
          <w:rFonts w:ascii="Calibri" w:cs="Calibri" w:eastAsia="Calibri" w:hAnsi="Calibri"/>
          <w:color w:val="1A1A1A"/>
          <w:sz w:val="21"/>
          <w:szCs w:val="21"/>
        </w:rPr>
        <w:t xml:space="preserve">Onderstaand vijf (fictieve) risico's uit verschillende projectregisters. Groepeer ze in clusters op basis van plausibele gemeenschappelijke oorzaak, en benoem elke cluster.</w:t>
      </w:r>
    </w:p>
    <w:p>
      <w:pPr>
        <w:spacing w:after="180" w:line="300"/>
        <w:jc w:val="both"/>
      </w:pPr>
      <w:r>
        <w:rPr>
          <w:rFonts w:ascii="Calibri" w:cs="Calibri" w:eastAsia="Calibri" w:hAnsi="Calibri"/>
          <w:color w:val="1A1A1A"/>
          <w:sz w:val="21"/>
          <w:szCs w:val="21"/>
        </w:rPr>
        <w:t xml:space="preserve">a. ‘Project 1: testfase loopt uit door onvoldoende testers beschikbaar.’</w:t>
      </w:r>
    </w:p>
    <w:p>
      <w:pPr>
        <w:spacing w:after="180" w:line="300"/>
        <w:jc w:val="both"/>
      </w:pPr>
      <w:r>
        <w:rPr>
          <w:rFonts w:ascii="Calibri" w:cs="Calibri" w:eastAsia="Calibri" w:hAnsi="Calibri"/>
          <w:color w:val="1A1A1A"/>
          <w:sz w:val="21"/>
          <w:szCs w:val="21"/>
        </w:rPr>
        <w:t xml:space="preserve">b. ‘Project 3: geplande kwaliteitscontrole overgeslagen door personeelstekort.’</w:t>
      </w:r>
    </w:p>
    <w:p>
      <w:pPr>
        <w:spacing w:after="180" w:line="300"/>
        <w:jc w:val="both"/>
      </w:pPr>
      <w:r>
        <w:rPr>
          <w:rFonts w:ascii="Calibri" w:cs="Calibri" w:eastAsia="Calibri" w:hAnsi="Calibri"/>
          <w:color w:val="1A1A1A"/>
          <w:sz w:val="21"/>
          <w:szCs w:val="21"/>
        </w:rPr>
        <w:t xml:space="preserve">c. ‘Project 2: leverancier X levert twee weken te laat.’</w:t>
      </w:r>
    </w:p>
    <w:p>
      <w:pPr>
        <w:spacing w:after="180" w:line="300"/>
        <w:jc w:val="both"/>
      </w:pPr>
      <w:r>
        <w:rPr>
          <w:rFonts w:ascii="Calibri" w:cs="Calibri" w:eastAsia="Calibri" w:hAnsi="Calibri"/>
          <w:color w:val="1A1A1A"/>
          <w:sz w:val="21"/>
          <w:szCs w:val="21"/>
        </w:rPr>
        <w:t xml:space="preserve">d. ‘Project 4: leverancier X kan de gevraagde capaciteit niet garanderen voor een tweede opdracht binnen hetzelfde kwartaal.’</w:t>
      </w:r>
    </w:p>
    <w:p>
      <w:pPr>
        <w:spacing w:after="180" w:line="300"/>
        <w:jc w:val="both"/>
      </w:pPr>
      <w:r>
        <w:rPr>
          <w:rFonts w:ascii="Calibri" w:cs="Calibri" w:eastAsia="Calibri" w:hAnsi="Calibri"/>
          <w:color w:val="1A1A1A"/>
          <w:sz w:val="21"/>
          <w:szCs w:val="21"/>
        </w:rPr>
        <w:t xml:space="preserve">e. ‘Project 5: de teamleider is overbelast door gelijktijdige betrokkenheid bij twee andere programma's.’</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Cluster ‘testcapaciteitstekort’: a en b — beide wijzen op een gedeeld tekort aan testers/kwaliteitscontrole-capaciteit over projecten heen.
Cluster ‘afhankelijkheid van leverancier X’: c en d — beide betreffen dezelfde externe partij, wat wijst op een concentratierisico (zie paragraaf 17.3) naast een gemeenschappelijke oorzaak.
Los, geen duidelijk cluster (op basis van de gegeven informatie): e — tenzij nader onderzoek uitwijst dat overbelasting van sleutelpersonen een breder patroon is bij Meridiaan, in welk geval dit een derde, apart te onderzoeken cluster zou kunnen worden.
Wat je hier moet meenemen: e laat zien dat niet elk risico automatisch in een cluster past — clusteren vereist een plausibele, onderzoekbare gemeenschappelijke oorzaak, geen gedwongen indeling. Een risico dat alleen staat, blijft gewoon alleen staan, en dat is een geldige uitkomst.</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17.3 — Wie is eigenaar?</w:t>
      </w:r>
    </w:p>
    <w:p>
      <w:pPr>
        <w:spacing w:after="180" w:line="300"/>
        <w:jc w:val="both"/>
      </w:pPr>
      <w:r>
        <w:rPr>
          <w:rFonts w:ascii="Calibri" w:cs="Calibri" w:eastAsia="Calibri" w:hAnsi="Calibri"/>
          <w:color w:val="1A1A1A"/>
          <w:sz w:val="21"/>
          <w:szCs w:val="21"/>
        </w:rPr>
        <w:t xml:space="preserve">Pas de beslisboom uit Figuur 17-2 toe op de volgende drie situaties. Wie is eigenaar?</w:t>
      </w:r>
    </w:p>
    <w:p>
      <w:pPr>
        <w:spacing w:after="180" w:line="300"/>
        <w:jc w:val="both"/>
      </w:pPr>
      <w:r>
        <w:rPr>
          <w:rFonts w:ascii="Calibri" w:cs="Calibri" w:eastAsia="Calibri" w:hAnsi="Calibri"/>
          <w:color w:val="1A1A1A"/>
          <w:sz w:val="21"/>
          <w:szCs w:val="21"/>
        </w:rPr>
        <w:t xml:space="preserve">a. Een risico dat uitsluitend Project 3 raakt, zonder enige relatie met andere projecten.</w:t>
      </w:r>
    </w:p>
    <w:p>
      <w:pPr>
        <w:spacing w:after="180" w:line="300"/>
        <w:jc w:val="both"/>
      </w:pPr>
      <w:r>
        <w:rPr>
          <w:rFonts w:ascii="Calibri" w:cs="Calibri" w:eastAsia="Calibri" w:hAnsi="Calibri"/>
          <w:color w:val="1A1A1A"/>
          <w:sz w:val="21"/>
          <w:szCs w:val="21"/>
        </w:rPr>
        <w:t xml:space="preserve">b. Een risico tussen Project 1 en Project 2, waarbij beide projectmanagers het snel eens worden over een gezamenlijke aanpak.</w:t>
      </w:r>
    </w:p>
    <w:p>
      <w:pPr>
        <w:spacing w:after="180" w:line="300"/>
        <w:jc w:val="both"/>
      </w:pPr>
      <w:r>
        <w:rPr>
          <w:rFonts w:ascii="Calibri" w:cs="Calibri" w:eastAsia="Calibri" w:hAnsi="Calibri"/>
          <w:color w:val="1A1A1A"/>
          <w:sz w:val="21"/>
          <w:szCs w:val="21"/>
        </w:rPr>
        <w:t xml:space="preserve">c. Een risico tussen Project 1, Project 2 én Project 4 tegelijk, waarbij de drie betrokken projectmanagers het onderling oneens zijn over de te volgen aanpak.</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De projectmanager van Project 3 — een zuiver projectrisico, eerstelijns-eigenaarschap zoals in deel 7 (niveau 1) vastgesteld.
b. Gezamenlijk eigenaarschap door beide projectmanagers — meerdere projecten betrokken, maar overeenstemming bereikt zonder escalatie nodig te hebben.
c. De Programme Manager — meer dan twee projecten betrokken én geen overeenstemming, precies de twee voorwaarden die in paragraaf 17.4 tot escalatie naar de Programme Manager leiden. Sanne faciliteert dit proces als tweede lijn, maar beslist niet zelf namens de Programme Manager.
Discussiepunt bij c: vraag door wat Sanne's rol hier precies is — het antwoord moet teruggrijpen op Kernzin 6 (deel 9, niveau 1): zij zorgt dat de juiste vraag bij de juiste persoon op tafel komt (in dit geval: de Programme Manager, gevoed met de drie perspectieven van de projectmanagers), maar kiest niet zelf de respons.</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17.4 — Leveringsmodel en leeftijdsprofiel</w:t>
      </w:r>
    </w:p>
    <w:p>
      <w:pPr>
        <w:spacing w:after="180" w:line="300"/>
        <w:jc w:val="both"/>
      </w:pPr>
      <w:r>
        <w:rPr>
          <w:rFonts w:ascii="Calibri" w:cs="Calibri" w:eastAsia="Calibri" w:hAnsi="Calibri"/>
          <w:color w:val="1A1A1A"/>
          <w:sz w:val="21"/>
          <w:szCs w:val="21"/>
        </w:rPr>
        <w:t xml:space="preserve">Project 2 (agile, sprints van twee weken) en Project 5 (traditioneel, faseovergangen elke twee maanden) leveren allebei risico's aan voor het programmaregister. Een risico van Project 2 is drie dagen oud (voor het laatst herzien tijdens de laatste sprint-planning); een risico van Project 5 is zes weken oud (voor het laatst herzien bij de vorige faseovergang). Is het risico van Project 5 daarom minder goed onderhouden? Beargumenteer.</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Niet noodzakelijk. Het verschil in ‘leeftijd’ weerspiegelt een verschil in ritme dat past bij het leveringsmodel van elk project (paragraaf 17.5), niet per se een verschil in kwaliteit van onderhoud. Project 5's risico kan, gegeven zijn tweemaandelijkse faseovergangscyclus, precies op schema liggen voor de eerstvolgende volledige herziening — zes weken oud is dan nog ruim binnen de verwachte cyclus. Project 2's risico van drie dagen oud is even actueel binnen zíjn eigen, veel kortere cyclus.
De juiste vraag is niet ‘hoe oud is dit risico in dagen’, maar ‘is dit risico voor het laatst herzien binnen het voor dit project passende ritme?’ Dat vereist dat je bij het clusteren en aggregeren (paragraaf 17.2) het leveringsmodel van elk project kent, en niet een enkele, uniforme leeftijdsnorm toepast over het hele programmaregister.
Wat je hier moet meenemen: dit is een subtiele maar praktisch belangrijke valkuil bij aggregatie — een schijnbaar objectieve maatstaf (leeftijd in dagen) kan een vertekend beeld geven als de onderliggende ritmes van de bijdragende projecten verschillen.</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Zelftoets deel 17</w:t>
      </w:r>
    </w:p>
    <w:p>
      <w:pPr>
        <w:pStyle w:val="ListParagraph"/>
        <w:numPr>
          <w:ilvl w:val="0"/>
          <w:numId w:val="2"/>
        </w:numPr>
        <w:spacing w:after="100" w:line="280"/>
      </w:pPr>
      <w:r>
        <w:rPr>
          <w:rFonts w:ascii="Calibri" w:cs="Calibri" w:eastAsia="Calibri" w:hAnsi="Calibri"/>
          <w:color w:val="1A1A1A"/>
          <w:sz w:val="21"/>
          <w:szCs w:val="21"/>
        </w:rPr>
        <w:t xml:space="preserve">1. Noem de drie redenen waarom risicoscores over projecten heen optellen problematisch is.</w:t>
      </w:r>
    </w:p>
    <w:p>
      <w:pPr>
        <w:pStyle w:val="ListParagraph"/>
        <w:numPr>
          <w:ilvl w:val="0"/>
          <w:numId w:val="2"/>
        </w:numPr>
        <w:spacing w:after="100" w:line="280"/>
      </w:pPr>
      <w:r>
        <w:rPr>
          <w:rFonts w:ascii="Calibri" w:cs="Calibri" w:eastAsia="Calibri" w:hAnsi="Calibri"/>
          <w:color w:val="1A1A1A"/>
          <w:sz w:val="21"/>
          <w:szCs w:val="21"/>
        </w:rPr>
        <w:t xml:space="preserve">2. Wat is kernzin 11?</w:t>
      </w:r>
    </w:p>
    <w:p>
      <w:pPr>
        <w:pStyle w:val="ListParagraph"/>
        <w:numPr>
          <w:ilvl w:val="0"/>
          <w:numId w:val="2"/>
        </w:numPr>
        <w:spacing w:after="100" w:line="280"/>
      </w:pPr>
      <w:r>
        <w:rPr>
          <w:rFonts w:ascii="Calibri" w:cs="Calibri" w:eastAsia="Calibri" w:hAnsi="Calibri"/>
          <w:color w:val="1A1A1A"/>
          <w:sz w:val="21"/>
          <w:szCs w:val="21"/>
        </w:rPr>
        <w:t xml:space="preserve">3. Wat is gemeenschappelijke-oorzaakanalyse, en hoe verschilt de uitkomst van een simpele optelling?</w:t>
      </w:r>
    </w:p>
    <w:p>
      <w:pPr>
        <w:pStyle w:val="ListParagraph"/>
        <w:numPr>
          <w:ilvl w:val="0"/>
          <w:numId w:val="2"/>
        </w:numPr>
        <w:spacing w:after="100" w:line="280"/>
      </w:pPr>
      <w:r>
        <w:rPr>
          <w:rFonts w:ascii="Calibri" w:cs="Calibri" w:eastAsia="Calibri" w:hAnsi="Calibri"/>
          <w:color w:val="1A1A1A"/>
          <w:sz w:val="21"/>
          <w:szCs w:val="21"/>
        </w:rPr>
        <w:t xml:space="preserve">4. Wat is concentratierisico, en hoe verhoudt het zich tot gemeenschappelijke-oorzaakanalyse?</w:t>
      </w:r>
    </w:p>
    <w:p>
      <w:pPr>
        <w:pStyle w:val="ListParagraph"/>
        <w:numPr>
          <w:ilvl w:val="0"/>
          <w:numId w:val="2"/>
        </w:numPr>
        <w:spacing w:after="100" w:line="280"/>
      </w:pPr>
      <w:r>
        <w:rPr>
          <w:rFonts w:ascii="Calibri" w:cs="Calibri" w:eastAsia="Calibri" w:hAnsi="Calibri"/>
          <w:color w:val="1A1A1A"/>
          <w:sz w:val="21"/>
          <w:szCs w:val="21"/>
        </w:rPr>
        <w:t xml:space="preserve">5. Wie is, volgens de in dit deel vastgestelde regel, standaard eigenaar van een risico dat meerdere projecten raakt? Wanneer geldt een uitzondering?</w:t>
      </w:r>
    </w:p>
    <w:p>
      <w:pPr>
        <w:pStyle w:val="ListParagraph"/>
        <w:numPr>
          <w:ilvl w:val="0"/>
          <w:numId w:val="2"/>
        </w:numPr>
        <w:spacing w:after="100" w:line="280"/>
      </w:pPr>
      <w:r>
        <w:rPr>
          <w:rFonts w:ascii="Calibri" w:cs="Calibri" w:eastAsia="Calibri" w:hAnsi="Calibri"/>
          <w:color w:val="1A1A1A"/>
          <w:sz w:val="21"/>
          <w:szCs w:val="21"/>
        </w:rPr>
        <w:t xml:space="preserve">6. Wat is Sanne's rol bij een grensoverschrijdend risico, en wat NIET, volgens Kernzin 6?</w:t>
      </w:r>
    </w:p>
    <w:p>
      <w:pPr>
        <w:pStyle w:val="ListParagraph"/>
        <w:numPr>
          <w:ilvl w:val="0"/>
          <w:numId w:val="2"/>
        </w:numPr>
        <w:spacing w:after="100" w:line="280"/>
      </w:pPr>
      <w:r>
        <w:rPr>
          <w:rFonts w:ascii="Calibri" w:cs="Calibri" w:eastAsia="Calibri" w:hAnsi="Calibri"/>
          <w:color w:val="1A1A1A"/>
          <w:sz w:val="21"/>
          <w:szCs w:val="21"/>
        </w:rPr>
        <w:t xml:space="preserve">7. Waarom kunnen twee risico's met een verschillende ‘leeftijd’ in het register allebei even goed onderhouden zijn?</w:t>
      </w:r>
    </w:p>
    <w:p>
      <w:pPr>
        <w:pStyle w:val="Heading2"/>
        <w:spacing w:after="160" w:before="360"/>
      </w:pPr>
      <w:r>
        <w:rPr>
          <w:rFonts w:ascii="Calibri" w:cs="Calibri" w:eastAsia="Calibri" w:hAnsi="Calibri"/>
          <w:b/>
          <w:bCs/>
          <w:color w:val="2C5AA0"/>
          <w:sz w:val="26"/>
          <w:szCs w:val="26"/>
        </w:rPr>
        <w:t xml:space="preserve">Antwoorden zelftoets</w:t>
      </w:r>
    </w:p>
    <w:p>
      <w:pPr>
        <w:spacing w:after="180" w:line="300"/>
        <w:jc w:val="both"/>
      </w:pPr>
      <w:r>
        <w:rPr>
          <w:rFonts w:ascii="Calibri" w:cs="Calibri" w:eastAsia="Calibri" w:hAnsi="Calibri"/>
          <w:color w:val="1A1A1A"/>
          <w:sz w:val="21"/>
          <w:szCs w:val="21"/>
        </w:rPr>
        <w:t xml:space="preserve">1. Ordinale schalen optellen is net zo onbetrouwbaar als ze vermenigvuldigen; optellen negeert gemeenschappelijke oorzaken; optellen negeert correlatie.</w:t>
      </w:r>
    </w:p>
    <w:p>
      <w:pPr>
        <w:spacing w:after="180" w:line="300"/>
        <w:jc w:val="both"/>
      </w:pPr>
      <w:r>
        <w:rPr>
          <w:rFonts w:ascii="Calibri" w:cs="Calibri" w:eastAsia="Calibri" w:hAnsi="Calibri"/>
          <w:color w:val="1A1A1A"/>
          <w:sz w:val="21"/>
          <w:szCs w:val="21"/>
        </w:rPr>
        <w:t xml:space="preserve">2. Risicoscores optellen zonder naar gemeenschappelijke oorzaken te kijken, verbergt precies het risico dat het meest telt — dat meerdere dingen tegelijk misgaan, om dezelfde reden.</w:t>
      </w:r>
    </w:p>
    <w:p>
      <w:pPr>
        <w:spacing w:after="180" w:line="300"/>
        <w:jc w:val="both"/>
      </w:pPr>
      <w:r>
        <w:rPr>
          <w:rFonts w:ascii="Calibri" w:cs="Calibri" w:eastAsia="Calibri" w:hAnsi="Calibri"/>
          <w:color w:val="1A1A1A"/>
          <w:sz w:val="21"/>
          <w:szCs w:val="21"/>
        </w:rPr>
        <w:t xml:space="preserve">3. Het groeperen van risico's naar onderliggende oorzaak in plaats van naar project of registerregel. Het legt clusters bloot die bij een simpele optelling verborgen blijven — meerdere schijnbaar losse risico's blijken vaak één onderliggend patroon.</w:t>
      </w:r>
    </w:p>
    <w:p>
      <w:pPr>
        <w:spacing w:after="180" w:line="300"/>
        <w:jc w:val="both"/>
      </w:pPr>
      <w:r>
        <w:rPr>
          <w:rFonts w:ascii="Calibri" w:cs="Calibri" w:eastAsia="Calibri" w:hAnsi="Calibri"/>
          <w:color w:val="1A1A1A"/>
          <w:sz w:val="21"/>
          <w:szCs w:val="21"/>
        </w:rPr>
        <w:t xml:space="preserve">4. Concentratierisico is de vraag of te veel blootstelling samenkomt op één punt (leverancier, systeem, persoon, technologie); het is nauw verwant aan gemeenschappelijke-oorzaakanalyse maar bekijkt het probleem vanuit een andere as — niet ‘welke risico's delen een oorzaak’ maar ‘waar is te veel opgehoopt’.</w:t>
      </w:r>
    </w:p>
    <w:p>
      <w:pPr>
        <w:spacing w:after="180" w:line="300"/>
        <w:jc w:val="both"/>
      </w:pPr>
      <w:r>
        <w:rPr>
          <w:rFonts w:ascii="Calibri" w:cs="Calibri" w:eastAsia="Calibri" w:hAnsi="Calibri"/>
          <w:color w:val="1A1A1A"/>
          <w:sz w:val="21"/>
          <w:szCs w:val="21"/>
        </w:rPr>
        <w:t xml:space="preserve">5. De Programme Manager, tenzij het risico slechts één project raakt (dan de projectmanager) of de betrokken projectmanagers het onderling eens worden zonder escalatie (dan gezamenlijk eigenaarschap).</w:t>
      </w:r>
    </w:p>
    <w:p>
      <w:pPr>
        <w:spacing w:after="180" w:line="300"/>
        <w:jc w:val="both"/>
      </w:pPr>
      <w:r>
        <w:rPr>
          <w:rFonts w:ascii="Calibri" w:cs="Calibri" w:eastAsia="Calibri" w:hAnsi="Calibri"/>
          <w:color w:val="1A1A1A"/>
          <w:sz w:val="21"/>
          <w:szCs w:val="21"/>
        </w:rPr>
        <w:t xml:space="preserve">6. Sanne faciliteert de identificatie en aggregatie en escaleert waar nodig, maar beslist niet zelf namens de Programme Manager welke respons wordt gekozen.</w:t>
      </w:r>
    </w:p>
    <w:p>
      <w:pPr>
        <w:spacing w:after="180" w:line="300"/>
        <w:jc w:val="both"/>
      </w:pPr>
      <w:r>
        <w:rPr>
          <w:rFonts w:ascii="Calibri" w:cs="Calibri" w:eastAsia="Calibri" w:hAnsi="Calibri"/>
          <w:color w:val="1A1A1A"/>
          <w:sz w:val="21"/>
          <w:szCs w:val="21"/>
        </w:rPr>
        <w:t xml:space="preserve">7. Omdat de ‘leeftijd’ van een risico moet worden gelezen tegen het ritme van het leveringsmodel van het bijbehorende project — een agile project herziet vaker maar in kortere cycli, een traditioneel gefaseerd project herziet minder vaak maar volgens een eigen, passende cyclus.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2026-08-17T06:24:12.864Z</dcterms:created>
  <dcterms:modified xsi:type="dcterms:W3CDTF">2026-08-17T06:24:12.866Z</dcterms:modified>
</cp:coreProperties>
</file>

<file path=docProps/custom.xml><?xml version="1.0" encoding="utf-8"?>
<Properties xmlns="http://schemas.openxmlformats.org/officeDocument/2006/custom-properties" xmlns:vt="http://schemas.openxmlformats.org/officeDocument/2006/docPropsVTypes"/>
</file>