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18 — IT- en cyberrisico</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18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enige deel in de hele cursus dat als volledig eigen onderwerp is toegevoegd in plaats van als aanpalende vermelding — leg deze bijzondere status kort uit aan het begin, het helpt deelnemers begrijpen waarom dit onderwerp meer aandacht krijgt dan bijvoorbeeld portfoliomanagement of PMO (die in de PM-cursus worden behandeld).</w:t>
      </w:r>
    </w:p>
    <w:p>
      <w:pPr>
        <w:spacing w:after="180" w:line="300"/>
        <w:jc w:val="both"/>
      </w:pPr>
      <w:r>
        <w:rPr>
          <w:rFonts w:ascii="Calibri" w:cs="Calibri" w:eastAsia="Calibri" w:hAnsi="Calibri"/>
          <w:color w:val="1A1A1A"/>
          <w:sz w:val="21"/>
          <w:szCs w:val="21"/>
        </w:rPr>
        <w:t xml:space="preserve">Het zwaartepunt van het dagdeel ligt niet op technische cybersecurity-kennis (dat is niet het doel van deze cursus) maar op de regelgevende mechaniek (DORA) en hoe die aansluit bij instrumenten die deelnemers al kennen. Beweeg snel door 18.1-18.2 naar de DORA-mechaniek en de toepassing in 18.4 — dat is waar de leeropbrengst zit.</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beargumenteren waarom IT- en cyberrisico in deze cursus een eigen deel heeft gekregen</w:t>
      </w:r>
    </w:p>
    <w:p>
      <w:pPr>
        <w:pStyle w:val="ListParagraph"/>
        <w:numPr>
          <w:ilvl w:val="0"/>
          <w:numId w:val="2"/>
        </w:numPr>
        <w:spacing w:after="100" w:line="280"/>
      </w:pPr>
      <w:r>
        <w:rPr>
          <w:rFonts w:ascii="Calibri" w:cs="Calibri" w:eastAsia="Calibri" w:hAnsi="Calibri"/>
          <w:color w:val="1A1A1A"/>
          <w:sz w:val="21"/>
          <w:szCs w:val="21"/>
        </w:rPr>
        <w:t xml:space="preserve">de vier CRISC-domeinen als oriëntatiekader beschrijven, zonder dit te verwarren met een examenvoorbereiding</w:t>
      </w:r>
    </w:p>
    <w:p>
      <w:pPr>
        <w:pStyle w:val="ListParagraph"/>
        <w:numPr>
          <w:ilvl w:val="0"/>
          <w:numId w:val="2"/>
        </w:numPr>
        <w:spacing w:after="100" w:line="280"/>
      </w:pPr>
      <w:r>
        <w:rPr>
          <w:rFonts w:ascii="Calibri" w:cs="Calibri" w:eastAsia="Calibri" w:hAnsi="Calibri"/>
          <w:color w:val="1A1A1A"/>
          <w:sz w:val="21"/>
          <w:szCs w:val="21"/>
        </w:rPr>
        <w:t xml:space="preserve">de vijf DORA-pijlers benoemen en elk koppelen aan een eerder in de cursus behandeld instrument</w:t>
      </w:r>
    </w:p>
    <w:p>
      <w:pPr>
        <w:pStyle w:val="ListParagraph"/>
        <w:numPr>
          <w:ilvl w:val="0"/>
          <w:numId w:val="2"/>
        </w:numPr>
        <w:spacing w:after="100" w:line="280"/>
      </w:pPr>
      <w:r>
        <w:rPr>
          <w:rFonts w:ascii="Calibri" w:cs="Calibri" w:eastAsia="Calibri" w:hAnsi="Calibri"/>
          <w:color w:val="1A1A1A"/>
          <w:sz w:val="21"/>
          <w:szCs w:val="21"/>
        </w:rPr>
        <w:t xml:space="preserve">onderscheiden of een IT-incident waarschijnlijk intern blijft of een kandidaat voor externe melding is</w:t>
      </w:r>
    </w:p>
    <w:p>
      <w:pPr>
        <w:pStyle w:val="ListParagraph"/>
        <w:numPr>
          <w:ilvl w:val="0"/>
          <w:numId w:val="2"/>
        </w:numPr>
        <w:spacing w:after="100" w:line="280"/>
      </w:pPr>
      <w:r>
        <w:rPr>
          <w:rFonts w:ascii="Calibri" w:cs="Calibri" w:eastAsia="Calibri" w:hAnsi="Calibri"/>
          <w:color w:val="1A1A1A"/>
          <w:sz w:val="21"/>
          <w:szCs w:val="21"/>
        </w:rPr>
        <w:t xml:space="preserve">een bow-tie-analyse toepassen op een IT- of cyberrisico</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phishingcasus, waarom dit deel bestaat</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3–6</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0:20–0:40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CRISC als oriëntatiekader</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7–9</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0:40–1:10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DORA: vijf pijlers</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10–15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18.1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1:45–2:15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Meldingsplichtig of niet, opdracht 18.2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16–18,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2:30–3:10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near-miss volledig verwerkt, opdracht 18.3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19–21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3:10–3:25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Kernzin 12, terugblik op de vijf-pijler-koppelingen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19</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23</w:t>
            </w:r>
          </w:p>
        </w:tc>
      </w:tr>
    </w:tbl>
    <w:p>
      <w:pPr>
        <w:spacing w:after="180" w:line="300"/>
        <w:jc w:val="both"/>
      </w:pPr>
      <w:r>
        <w:rPr>
          <w:rFonts w:ascii="Calibri" w:cs="Calibri" w:eastAsia="Calibri" w:hAnsi="Calibri"/>
          <w:color w:val="1A1A1A"/>
          <w:sz w:val="21"/>
          <w:szCs w:val="21"/>
        </w:rPr>
        <w:t xml:space="preserve">Huiswerk voor deel 19: geen nieuwe formele opdracht; vraag deelnemers een van de risico's uit hun eigen register (van welk deel dan ook) te selecteren die zij in deel 19 zullen gebruiken voor de rapportage-oefening aan drie verschillende gremia.</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Dit deel laten ontsporen in technische cybersecurity-discussie. Deelnemers met een IT-achtergrond kunnen de neiging hebben in te zoomen op specifieke technische maatregelen (firewalls, encryptie-standaarden). Erken hun expertise kort, maar stuur terug naar de regelgevende mechaniek en het risicomanagementproces — dat is de kern van deze cursus, niet techniek zelf.</w:t>
      </w:r>
    </w:p>
    <w:p>
      <w:pPr>
        <w:pStyle w:val="ListParagraph"/>
        <w:numPr>
          <w:ilvl w:val="0"/>
          <w:numId w:val="2"/>
        </w:numPr>
        <w:spacing w:after="100" w:line="280"/>
      </w:pPr>
      <w:r>
        <w:rPr>
          <w:rFonts w:ascii="Calibri" w:cs="Calibri" w:eastAsia="Calibri" w:hAnsi="Calibri"/>
          <w:color w:val="1A1A1A"/>
          <w:sz w:val="21"/>
          <w:szCs w:val="21"/>
        </w:rPr>
        <w:t xml:space="preserve">CRISC laten voelen als een verplichte vierde examenlijn. Wees expliciet: dit is oriëntatie, geen examenvoorbereiding. De cursus ankert op M_o_R/IRM in niveau 2.</w:t>
      </w:r>
    </w:p>
    <w:p>
      <w:pPr>
        <w:pStyle w:val="ListParagraph"/>
        <w:numPr>
          <w:ilvl w:val="0"/>
          <w:numId w:val="2"/>
        </w:numPr>
        <w:spacing w:after="100" w:line="280"/>
      </w:pPr>
      <w:r>
        <w:rPr>
          <w:rFonts w:ascii="Calibri" w:cs="Calibri" w:eastAsia="Calibri" w:hAnsi="Calibri"/>
          <w:color w:val="1A1A1A"/>
          <w:sz w:val="21"/>
          <w:szCs w:val="21"/>
        </w:rPr>
        <w:t xml:space="preserve">DORA te juridisch-technisch behandelen. De precieze classificatiecriteria voor ‘major incident’ zijn gedetailleerd technisch-juridisch werk. Voor dit deel volstaat het onderscheid tussen ‘geen daadwerkelijke inbreuk, dus interne aantekening’ en ‘wel impact op vertrouwelijkheid/integriteit/beschikbaarheid, dus zorgvuldige beoordeling nodig’ — ga niet in op precieze wettelijke drempelwaarden, die vallen buiten het bereik van deze cursus en veranderen bovendien met nadere regelgeving.</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een IT-security-achtergrond kennen de techniek vaak beter dan de cursusleider. Gebruik hen als bron voor realistische voorbeelden bij opdracht 18.3, maar houd de discussie gericht op het risicomanagementproces eromheen, niet op technische diepgang.</w:t>
      </w:r>
    </w:p>
    <w:p>
      <w:pPr>
        <w:spacing w:after="180" w:line="300"/>
        <w:jc w:val="both"/>
      </w:pPr>
      <w:r>
        <w:rPr>
          <w:rFonts w:ascii="Calibri" w:cs="Calibri" w:eastAsia="Calibri" w:hAnsi="Calibri"/>
          <w:color w:val="1A1A1A"/>
          <w:sz w:val="21"/>
          <w:szCs w:val="21"/>
        </w:rPr>
        <w:t xml:space="preserve">Deelnemers met een compliance- of juridische achtergrond zijn vaak het meest geïnteresseerd in de DORA-mechaniek zelf. Zij kunnen waardevolle nuance toevoegen bij de bespreking van opdracht 18.2, met de kanttekening dat precieze juridische classificatie buiten het bestek van deze cursus valt.</w:t>
      </w:r>
    </w:p>
    <w:p>
      <w:pPr>
        <w:spacing w:after="180" w:line="300"/>
        <w:jc w:val="both"/>
      </w:pPr>
      <w:r>
        <w:rPr>
          <w:rFonts w:ascii="Calibri" w:cs="Calibri" w:eastAsia="Calibri" w:hAnsi="Calibri"/>
          <w:color w:val="1A1A1A"/>
          <w:sz w:val="21"/>
          <w:szCs w:val="21"/>
        </w:rPr>
        <w:t xml:space="preserve">Deelnemers zonder IT-achtergrond, die dit onderwerp als ‘niet voor mij’ kunnen zien: benadruk dat de vaardigheid die hier wordt gevraagd niet technisch is — het is het kunnen herkennen van een IT-gerelateerd risico als risico, en het weten waar het thuishoort in het bestaande instrumentarium (risicozin, bow-tie, register). Dat is voor iedereen relevant, niet alleen voor IT-specialisten.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Heeft jouw organisatie een actueel, compleet register van alle ICT-derde partijen, met een kriticiteitsbeoordeling per partij? Zo niet, wat zou de eerste stap zijn om dat op te bouwen?</w:t>
      </w:r>
    </w:p>
    <w:p>
      <w:pPr>
        <w:pStyle w:val="ListParagraph"/>
        <w:numPr>
          <w:ilvl w:val="0"/>
          <w:numId w:val="2"/>
        </w:numPr>
        <w:spacing w:after="100" w:line="280"/>
      </w:pPr>
      <w:r>
        <w:rPr>
          <w:rFonts w:ascii="Calibri" w:cs="Calibri" w:eastAsia="Calibri" w:hAnsi="Calibri"/>
          <w:color w:val="1A1A1A"/>
          <w:sz w:val="21"/>
          <w:szCs w:val="21"/>
        </w:rPr>
        <w:t xml:space="preserve">Ken je een voorbeeld van een ‘bijna-incident’ (zoals de phishingcasus) in jouw organisatie dat achteraf nooit formeel is vastgelegd of geanalyseerd?</w:t>
      </w:r>
    </w:p>
    <w:p>
      <w:pPr>
        <w:pStyle w:val="ListParagraph"/>
        <w:numPr>
          <w:ilvl w:val="0"/>
          <w:numId w:val="2"/>
        </w:numPr>
        <w:spacing w:after="100" w:line="280"/>
      </w:pPr>
      <w:r>
        <w:rPr>
          <w:rFonts w:ascii="Calibri" w:cs="Calibri" w:eastAsia="Calibri" w:hAnsi="Calibri"/>
          <w:color w:val="1A1A1A"/>
          <w:sz w:val="21"/>
          <w:szCs w:val="21"/>
        </w:rPr>
        <w:t xml:space="preserve">Is de verantwoordelijkheid voor cyberrisico in jouw organisatie duidelijk belegd tussen IT-security, risicomanagement en compliance, of overlappen deze rollen op een verwarrende manier?</w:t>
      </w:r>
    </w:p>
    <w:p>
      <w:pPr>
        <w:pStyle w:val="Heading2"/>
        <w:spacing w:after="160" w:before="360"/>
      </w:pPr>
      <w:r>
        <w:rPr>
          <w:rFonts w:ascii="Calibri" w:cs="Calibri" w:eastAsia="Calibri" w:hAnsi="Calibri"/>
          <w:b/>
          <w:bCs/>
          <w:color w:val="2C5AA0"/>
          <w:sz w:val="26"/>
          <w:szCs w:val="26"/>
        </w:rPr>
        <w:t xml:space="preserve">Antwoordmodel voor de moeilijkste bespreking (opdracht 18.2, onderdeel b)</w:t>
      </w:r>
    </w:p>
    <w:p>
      <w:pPr>
        <w:spacing w:after="180" w:line="300"/>
        <w:jc w:val="both"/>
      </w:pPr>
      <w:r>
        <w:rPr>
          <w:rFonts w:ascii="Calibri" w:cs="Calibri" w:eastAsia="Calibri" w:hAnsi="Calibri"/>
          <w:color w:val="1A1A1A"/>
          <w:sz w:val="21"/>
          <w:szCs w:val="21"/>
        </w:rPr>
        <w:t xml:space="preserve">Deelnemers hebben de neiging onderdeel b (drie uur uitval van het portaal) snel als ‘gewoon een technische storing, geen cyberrisico’ te classificeren, en daarmee buiten de DORA-scope te plaatsen. Corrigeer dit explict: DORA's incidentrapportageplicht geldt voor ICT-gerelateerde incidenten in brede zin — impact op beschikbaarheid telt net zo goed mee als een cyberaanval, ook als de oorzaak ‘slechts’ een technische storing is, geen kwaadwillige actie. Vraag door: maakt het voor de getroffen werkgevers verschil of de uitval door een hack of door een technisch defect komt? Het antwoord is nee — het gevolg (verstoorde dienstverlening) is voor de toezichthouder en de gebruiker relevant, ongeacht de oorzaak. Dit is een belangrijke correctie op de intuïtieve, te enge lezing van ‘cyberrisico’ als uitsluitend kwaadaardige aanvallen.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De vijf-DORA-pijlers-tabel (paragraaf 18.3) als uitdeelblad, met ruimte om per pijler eigen organisatienotities bij te schrijven.</w:t>
      </w:r>
    </w:p>
    <w:p>
      <w:pPr>
        <w:pStyle w:val="ListParagraph"/>
        <w:numPr>
          <w:ilvl w:val="0"/>
          <w:numId w:val="2"/>
        </w:numPr>
        <w:spacing w:after="100" w:line="280"/>
      </w:pPr>
      <w:r>
        <w:rPr>
          <w:rFonts w:ascii="Calibri" w:cs="Calibri" w:eastAsia="Calibri" w:hAnsi="Calibri"/>
          <w:color w:val="1A1A1A"/>
          <w:sz w:val="21"/>
          <w:szCs w:val="21"/>
        </w:rPr>
        <w:t xml:space="preserve">Het bow-tie-sjabloon uit deel 16, hergebruikt voor opdracht 18.3.</w:t>
      </w:r>
    </w:p>
    <w:p>
      <w:pPr>
        <w:pStyle w:val="Heading2"/>
        <w:spacing w:after="160" w:before="360"/>
      </w:pPr>
      <w:r>
        <w:rPr>
          <w:rFonts w:ascii="Calibri" w:cs="Calibri" w:eastAsia="Calibri" w:hAnsi="Calibri"/>
          <w:b/>
          <w:bCs/>
          <w:color w:val="2C5AA0"/>
          <w:sz w:val="26"/>
          <w:szCs w:val="26"/>
        </w:rPr>
        <w:t xml:space="preserve">Aansluiting op deel 19</w:t>
      </w:r>
    </w:p>
    <w:p>
      <w:pPr>
        <w:spacing w:after="180" w:line="300"/>
        <w:jc w:val="both"/>
      </w:pPr>
      <w:r>
        <w:rPr>
          <w:rFonts w:ascii="Calibri" w:cs="Calibri" w:eastAsia="Calibri" w:hAnsi="Calibri"/>
          <w:color w:val="1A1A1A"/>
          <w:sz w:val="21"/>
          <w:szCs w:val="21"/>
        </w:rPr>
        <w:t xml:space="preserve">Sluit af met: alle instrumenten uit dit niveau — kwalitatief, kwantitatief, geaggregeerd, IT-gerelateerd — leveren uiteindelijk informatie op die ergens terecht moet komen: bij een bestuur, een stuurgroep, een toezichthouder. Deel 19, over twee dagdelen, behandelt hoe je die informatie zo rapporteert dat ze daadwerkelijk tot een besluit leidt — met een live oefening waarin dezelfde risico's aan drie verschillende gremia worden gepresenteerd.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2026-08-17T06:27:49.951Z</dcterms:created>
  <dcterms:modified xsi:type="dcterms:W3CDTF">2026-08-17T06:27:49.956Z</dcterms:modified>
</cp:coreProperties>
</file>

<file path=docProps/custom.xml><?xml version="1.0" encoding="utf-8"?>
<Properties xmlns="http://schemas.openxmlformats.org/officeDocument/2006/custom-properties" xmlns:vt="http://schemas.openxmlformats.org/officeDocument/2006/docPropsVTypes"/>
</file>