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RISICOMANAGEMENT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2C5AA0"/>
          <w:sz w:val="32"/>
          <w:szCs w:val="32"/>
        </w:rPr>
        <w:t xml:space="preserve">Deel 18 — IT- en cyberrisico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Niveau 2 — Professional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D99A3D"/>
          <w:sz w:val="24"/>
          <w:szCs w:val="24"/>
        </w:rPr>
        <w:t xml:space="preserve">Werkboek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8B93A5"/>
          <w:sz w:val="20"/>
          <w:szCs w:val="20"/>
        </w:rPr>
        <w:t xml:space="preserve">Ductus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Deel 18 — Werkboek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Werk de opdrachten uit vóórdat je de uitwerking leest.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18.1 — Welke DORA-pijler?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Voor elk van de volgende situaties: welke van de vijf DORA-pijlers is hier het meest relevant?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a. Meridiaan houdt een register bij van alle externe partijen die ICT-diensten leveren, met een kriticiteitsbeoordeling per partij.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b. Er vindt een onafhankelijke, realistische aanvalssimulatie plaats op de systemen van Meridiaan.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c. Een storing bij de Verwerkingsengine treft de beschikbaarheid van het systeem voor alle werkgevers gedurende vier uur, en wordt binnen de voorgeschreven termijn aan DNB gemeld.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d. Meridiaan deelt, samen met andere pensioenuitvoerders, informatie over een nieuwe phishingtechniek die in de sector is waargenomen.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a. Pijler 4 — beheer van ICT-risico's bij derde partijen.
b. Pijler 3 — testen van digitale operationele weerbaarheid (dit beschrijft een TLPT-achtige test).
c. Pijler 2 — ICT-incidentrapportage.
d. Pijler 5 — informatie-uitwisseling.
Wat je hier moet meenemen: vier van de vijf pijlers zijn hier vertegenwoordigd; alleen pijler 1 (ICT-risicobeheer, het onderliggende raamwerk zelf) komt niet apart terug — dat is precies omdat pijler 1 de basis is waarop de andere vier rusten, niet een aparte, afzonderlijke activiteit.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18.2 — Meldingsplichtig of niet?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Voor elk van de volgende incidenten: zou je, op basis van de logica uit paragraaf 18.4 (wel/niet daadwerkelijke inbreuk, wel/niet impact op vertrouwelijkheid/integriteit/beschikbaarheid), verwachten dat dit een interne aantekening is, of een kandidaat voor externe DORA-melding?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a. Een phishingmail wordt door honderden werkgevers ontvangen, maar niemand klikt op de link.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b. Een technische storing legt het Werkgeversportaal drie uur plat tijdens kantooruren.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c. Een medewerker verliest een niet-versleutelde laptop met een lokale kopie van testdata (geen echte deelnemersgegevens).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d. Een onbevoegde partij krijgt toegang tot een deel van de productieomgeving met echte deelnemersgegevens.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a. Interne aantekening, zoals de near-miss in paragraaf 18.4 — geen daadwerkelijke inbreuk.
b. Kandidaat voor externe melding — een verstoring van beschikbaarheid, potentieel boven de classificatiedrempel, afhankelijk van de exacte impact-criteria; in ieder geval een grondige interne beoordeling vereist.
c. Waarschijnlijk interne aantekening met verhoogde waakzaamheid, omdat het om testdata gaat zonder echte deelnemersgegevens — maar wel een signaal dat het beleid rond het meenemen van data op apparatuur moet worden herzien.
d. Zeer waarschijnlijk kandidaat voor externe melding — een feitelijke inbreuk op vertrouwelijkheid van echte deelnemersgegevens, het soort scenario waarvoor de DORA-meldketen bestaat.
Wat je hier moet meenemen: de scherpe classificatiecriteria zelf zijn gedetailleerd technisch-juridisch werk dat buiten deze cursus valt — het punt hier is de vaardigheid om, bij twijfel, altijd de interne beoordelingsstap te zetten in plaats van zelf te besluiten ‘dit stelt vast niets voor’.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18.3 — Bouw een bow-tie voor een IT-risico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Kies een IT- of cyberrisico uit je eigen praktijk (of gebruik de phishingcasus uit dit deel). Bouw, naar het voorbeeld van deel 16, een bow-tie met minstens twee dreigingen en twee gevolgen.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Geen vast antwoord — toepassingsopdracht. Gebruik de uitwerking uit paragraaf 18.4 als referentie: centrale gebeurtenis ‘werkgever geeft inloggegevens prijs via phishing’, dreigingen (onvoldoende bewustzijn, geen MFA, geen domeinmonitoring) elk met een eigen barrière, gevolgen (onbevoegde toegang, DORA-meldingsplicht, reputatieschade) elk met een eigen barrière.
Controleer bij nakijken: zijn de barrières concreet en toewijsbaar aan een actiehouder (deel 7, niveau 1), niet alleen ‘meer bewustzijn creëren’ in algemene termen?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Zelftoets deel 18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Waarom krijgt IT- en cyberrisico, in tegenstelling tot andere aanpalende onderwerpen, wel een eigen deel in deze cursus?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Wat is kernzin 12?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Noem de vier CRISC-domeinen en hun globale gewicht.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Noem de vijf DORA-pijlers.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Sinds wanneer is DORA van kracht, en hoe verhoudt een EU-verordening zich tot nationale wetgeving?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6. Aan welk eerder behandeld instrument uit deze cursus correspondeert elke DORA-pijler?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7. Waarom werd Sanne's phishing-near-miss niet extern gemeld, en wat gebeurde er wel mee?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Antwoorden zelftoets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Omdat het Mutatieplatform-programma in de kern een digitaal product is, en omdat DORA sinds 17 januari 2025 rechtstreeks werkende, wettelijk afdwingbare verplichtingen oplegt aan Meridiaan als verzekeraar.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Cyberrisico stopt niet bij de grens van je eigen systeem — het loopt door tot bij elke partij waarmee dat systeem praat.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Governance (26%), IT Risk Assessment (22%), Risk Response and Reporting (32%), IT and Security (20%).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ICT-risicobeheer, ICT-incidentrapportage, testen van digitale operationele weerbaarheid, beheer van ICT-risico's bij derde partijen, informatie-uitwisseling.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Sinds 17 januari 2025. Een EU-verordening werkt rechtstreeks in elke lidstaat, zonder dat nationale wetgeving de regels eerst hoeft om te zetten (in tegenstelling tot een richtlijn).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6. Pijler 1 (ICT-risicobeheer) ↔ het procesmodel uit deel 3; pijler 2 (incidentrapportage) ↔ de escalatieladder uit deel 8; pijler 3 (weerbaarheidstesten) ↔ werkingseffectiviteit uit deel 16; pijler 4 (derdepartijrisico) ↔ het leveranciers-/concentratierisicocluster uit deel 17; pijler 5 (informatie-uitwisseling) ↔ horizon scanning uit deel 13.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7. Omdat er geen daadwerkelijke inbreuk had plaatsgevonden — geen werkgever had op de link geklikt — waardoor de DORA-classificatiedrempel voor verplichte externe melding niet werd gehaald. Het werd wel intern vastgelegd, geanalyseerd via een bow-tie, en leidde tot nieuwe barrières (MFA, bewustwording, domeinmonitoring) en een nieuwe registerregel.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2026-08-17T06:27:49.505Z</dcterms:created>
  <dcterms:modified xsi:type="dcterms:W3CDTF">2026-08-17T06:27:49.506Z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