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19 — Rapportage en besluitvorming</w:t>
      </w:r>
    </w:p>
    <w:p>
      <w:pPr>
        <w:spacing w:before="600"/>
        <w:jc w:val="center"/>
      </w:pPr>
      <w:r>
        <w:rPr>
          <w:rFonts w:ascii="Calibri" w:cs="Calibri" w:eastAsia="Calibri" w:hAnsi="Calibri"/>
          <w:b/>
          <w:bCs/>
          <w:color w:val="1B2A4A"/>
          <w:sz w:val="24"/>
          <w:szCs w:val="24"/>
        </w:rPr>
        <w:t xml:space="preserve">Niveau 2 — Professional</w:t>
      </w:r>
    </w:p>
    <w:p>
      <w:pPr>
        <w:spacing w:before="200"/>
        <w:jc w:val="center"/>
      </w:pPr>
      <w:r>
        <w:rPr>
          <w:rFonts w:ascii="Calibri" w:cs="Calibri" w:eastAsia="Calibri" w:hAnsi="Calibri"/>
          <w:i/>
          <w:iCs/>
          <w:color w:val="D99A3D"/>
          <w:sz w:val="24"/>
          <w:szCs w:val="24"/>
        </w:rPr>
        <w:t xml:space="preserve">Docentenhandleiding (twee dagdelen)</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19 — Docentenhandleiding</w:t>
      </w:r>
    </w:p>
    <w:p>
      <w:pPr>
        <w:pStyle w:val="Heading2"/>
        <w:spacing w:after="160" w:before="360"/>
      </w:pPr>
      <w:r>
        <w:rPr>
          <w:rFonts w:ascii="Calibri" w:cs="Calibri" w:eastAsia="Calibri" w:hAnsi="Calibri"/>
          <w:b/>
          <w:bCs/>
          <w:color w:val="2C5AA0"/>
          <w:sz w:val="26"/>
          <w:szCs w:val="26"/>
        </w:rPr>
        <w:t xml:space="preserve">Positie van dit deel</w:t>
      </w:r>
    </w:p>
    <w:p>
      <w:pPr>
        <w:spacing w:after="180" w:line="300"/>
        <w:jc w:val="both"/>
      </w:pPr>
      <w:r>
        <w:rPr>
          <w:rFonts w:ascii="Calibri" w:cs="Calibri" w:eastAsia="Calibri" w:hAnsi="Calibri"/>
          <w:color w:val="1A1A1A"/>
          <w:sz w:val="21"/>
          <w:szCs w:val="21"/>
        </w:rPr>
        <w:t xml:space="preserve">Dit is het tweede en laatste tweedagdelen-deel van niveau 2, en het brengt vrijwel elk eerder instrument van dit niveau samen in één praktische vaardigheid: rapporteren op een manier die tot een besluit leidt. De simulatie in dagdeel 2 is het hoogtepunt — zorg dat dagdeel 1 stevig genoeg is opgebouwd dat deelnemers daar goed voorbereid aan beginnen.</w:t>
      </w:r>
    </w:p>
    <w:p>
      <w:pPr>
        <w:spacing w:after="180" w:line="300"/>
        <w:jc w:val="both"/>
      </w:pPr>
      <w:r>
        <w:rPr>
          <w:rFonts w:ascii="Calibri" w:cs="Calibri" w:eastAsia="Calibri" w:hAnsi="Calibri"/>
          <w:color w:val="1A1A1A"/>
          <w:sz w:val="21"/>
          <w:szCs w:val="21"/>
        </w:rPr>
        <w:t xml:space="preserve">Dit deel is ook een goed moment om terug te kijken: vraag deelnemers desgewenst om, voorafgaand aan dagdeel 1, een eigen recente rapportage (geanonimiseerd) mee te nemen ter illustratie van de dashboardvalkuil.</w:t>
      </w:r>
    </w:p>
    <w:p>
      <w:pPr>
        <w:pStyle w:val="Heading2"/>
        <w:spacing w:after="160" w:before="360"/>
      </w:pPr>
      <w:r>
        <w:rPr>
          <w:rFonts w:ascii="Calibri" w:cs="Calibri" w:eastAsia="Calibri" w:hAnsi="Calibri"/>
          <w:b/>
          <w:bCs/>
          <w:color w:val="2C5AA0"/>
          <w:sz w:val="26"/>
          <w:szCs w:val="26"/>
        </w:rPr>
        <w:t xml:space="preserve">Leerdoelen</w:t>
      </w:r>
    </w:p>
    <w:p>
      <w:pPr>
        <w:pStyle w:val="ListParagraph"/>
        <w:numPr>
          <w:ilvl w:val="0"/>
          <w:numId w:val="2"/>
        </w:numPr>
        <w:spacing w:after="100" w:line="280"/>
      </w:pPr>
      <w:r>
        <w:rPr>
          <w:rFonts w:ascii="Calibri" w:cs="Calibri" w:eastAsia="Calibri" w:hAnsi="Calibri"/>
          <w:color w:val="1A1A1A"/>
          <w:sz w:val="21"/>
          <w:szCs w:val="21"/>
        </w:rPr>
        <w:t xml:space="preserve">Kernzin 13 toepassen en een rapportagezin herschrijven zodat hij eindigt met een concrete vraag</w:t>
      </w:r>
    </w:p>
    <w:p>
      <w:pPr>
        <w:pStyle w:val="ListParagraph"/>
        <w:numPr>
          <w:ilvl w:val="0"/>
          <w:numId w:val="2"/>
        </w:numPr>
        <w:spacing w:after="100" w:line="280"/>
      </w:pPr>
      <w:r>
        <w:rPr>
          <w:rFonts w:ascii="Calibri" w:cs="Calibri" w:eastAsia="Calibri" w:hAnsi="Calibri"/>
          <w:color w:val="1A1A1A"/>
          <w:sz w:val="21"/>
          <w:szCs w:val="21"/>
        </w:rPr>
        <w:t xml:space="preserve">de drie vormen van de dashboardvalkuil herkennen en de bijbehorende tegenmaatregel toepassen</w:t>
      </w:r>
    </w:p>
    <w:p>
      <w:pPr>
        <w:pStyle w:val="ListParagraph"/>
        <w:numPr>
          <w:ilvl w:val="0"/>
          <w:numId w:val="2"/>
        </w:numPr>
        <w:spacing w:after="100" w:line="280"/>
      </w:pPr>
      <w:r>
        <w:rPr>
          <w:rFonts w:ascii="Calibri" w:cs="Calibri" w:eastAsia="Calibri" w:hAnsi="Calibri"/>
          <w:color w:val="1A1A1A"/>
          <w:sz w:val="21"/>
          <w:szCs w:val="21"/>
        </w:rPr>
        <w:t xml:space="preserve">dezelfde onderliggende risico-informatie vertalen naar drie verschillende gremia, met behoud van feitelijke consistentie (‘het register bepaalt de nadruk, nooit de feiten’)</w:t>
      </w:r>
    </w:p>
    <w:p>
      <w:pPr>
        <w:pStyle w:val="ListParagraph"/>
        <w:numPr>
          <w:ilvl w:val="0"/>
          <w:numId w:val="2"/>
        </w:numPr>
        <w:spacing w:after="100" w:line="280"/>
      </w:pPr>
      <w:r>
        <w:rPr>
          <w:rFonts w:ascii="Calibri" w:cs="Calibri" w:eastAsia="Calibri" w:hAnsi="Calibri"/>
          <w:color w:val="1A1A1A"/>
          <w:sz w:val="21"/>
          <w:szCs w:val="21"/>
        </w:rPr>
        <w:t xml:space="preserve">het vaste vier-vragen-narratief toepassen op een gegeven risico voor een gegeven gremium</w:t>
      </w:r>
    </w:p>
    <w:p>
      <w:pPr>
        <w:pStyle w:val="ListParagraph"/>
        <w:numPr>
          <w:ilvl w:val="0"/>
          <w:numId w:val="2"/>
        </w:numPr>
        <w:spacing w:after="100" w:line="280"/>
      </w:pPr>
      <w:r>
        <w:rPr>
          <w:rFonts w:ascii="Calibri" w:cs="Calibri" w:eastAsia="Calibri" w:hAnsi="Calibri"/>
          <w:color w:val="1A1A1A"/>
          <w:sz w:val="21"/>
          <w:szCs w:val="21"/>
        </w:rPr>
        <w:t xml:space="preserve">een rapportage opstellen die opties met onderbouwing biedt in plaats van een enkelvoudig oordeel</w:t>
      </w:r>
    </w:p>
    <w:p>
      <w:pPr>
        <w:pStyle w:val="Heading2"/>
        <w:spacing w:after="160" w:before="360"/>
      </w:pPr>
      <w:r>
        <w:rPr>
          <w:rFonts w:ascii="Calibri" w:cs="Calibri" w:eastAsia="Calibri" w:hAnsi="Calibri"/>
          <w:b/>
          <w:bCs/>
          <w:color w:val="2C5AA0"/>
          <w:sz w:val="26"/>
          <w:szCs w:val="26"/>
        </w:rPr>
        <w:t xml:space="preserve">Tijdsindeling (twee dagdelen, elk circa 3 uur 30)</w:t>
      </w:r>
    </w:p>
    <w:p>
      <w:pPr>
        <w:pStyle w:val="Heading3"/>
        <w:spacing w:after="120" w:before="280"/>
      </w:pPr>
      <w:r>
        <w:rPr>
          <w:rFonts w:ascii="Calibri" w:cs="Calibri" w:eastAsia="Calibri" w:hAnsi="Calibri"/>
          <w:b/>
          <w:bCs/>
          <w:color w:val="1B2A4A"/>
          <w:sz w:val="22"/>
          <w:szCs w:val="22"/>
        </w:rPr>
        <w:t xml:space="preserve">Dagdeel 1 — concepten en voorbereiding</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683"/>
        <w:gridCol w:w="5142"/>
        <w:gridCol w:w="2524"/>
      </w:tblGrid>
      <w:tr>
        <w:trPr>
          <w:tblHeader/>
        </w:trPr>
        <w:tc>
          <w:tcPr>
            <w:tcW w:type="pct" w:w="1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Tijd</w:t>
            </w:r>
          </w:p>
        </w:tc>
        <w:tc>
          <w:tcPr>
            <w:tcW w:type="pct" w:w="55%"/>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Onderdeel</w:t>
            </w:r>
          </w:p>
        </w:tc>
        <w:tc>
          <w:tcPr>
            <w:tcW w:type="pct" w:w="27%"/>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Vorm</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0:00–0:20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Sanne's week: drie gremia, dezelfde risico's</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Vertelling, slides 3–5</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0:20–0:40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Kernzin 13, het rapport dat een besluit uitlokt</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6–8</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0:40–1:15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De dashboardvalkuil, drie vormen</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9–13, opdracht 19.1</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1:15–1:30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1:30–1:45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De gedeelde familieregel: register bepaalt nadruk, nooit feiten</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 14</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1:45–2:15</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Drie gremia, drie vragen</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15–17</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2:15–2:30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2:30–3:00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Het vaste narratief-format, opdracht 19.2</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18–19</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3:00–3:25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Opdracht 19.3, voorbereiding op de simulatie</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3:25–3:30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Vooruitblik dagdeel 2</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 20</w:t>
            </w:r>
          </w:p>
        </w:tc>
      </w:tr>
    </w:tbl>
    <w:p>
      <w:pPr>
        <w:pStyle w:val="Heading3"/>
        <w:spacing w:after="120" w:before="280"/>
      </w:pPr>
      <w:r>
        <w:rPr>
          <w:rFonts w:ascii="Calibri" w:cs="Calibri" w:eastAsia="Calibri" w:hAnsi="Calibri"/>
          <w:b/>
          <w:bCs/>
          <w:color w:val="1B2A4A"/>
          <w:sz w:val="22"/>
          <w:szCs w:val="22"/>
        </w:rPr>
        <w:t xml:space="preserve">Dagdeel 2 — de live simulatie</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683"/>
        <w:gridCol w:w="5142"/>
        <w:gridCol w:w="2524"/>
      </w:tblGrid>
      <w:tr>
        <w:trPr>
          <w:tblHeader/>
        </w:trPr>
        <w:tc>
          <w:tcPr>
            <w:tcW w:type="pct" w:w="1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Tijd</w:t>
            </w:r>
          </w:p>
        </w:tc>
        <w:tc>
          <w:tcPr>
            <w:tcW w:type="pct" w:w="55%"/>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Onderdeel</w:t>
            </w:r>
          </w:p>
        </w:tc>
        <w:tc>
          <w:tcPr>
            <w:tcW w:type="pct" w:w="27%"/>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Vorm</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0:00–0:15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Terugblik, opzet van de simulatie</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21–22</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0:15–0:45</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Groepjes vormen, drie risico's verdelen, elk drie versies voorbereiden</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Groepswerk</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0:45–1:30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Ronde 1: projectteam-panel (drie groepjes × 5+2 minuten)</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Simulatie</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1:30–1:45</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1:45–2:30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Ronde 2: Sponsoring Group-panel (drie groepjes × 5+2 minuten)</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Simulatie</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2:30–2:45</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2:45–3:15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Ronde 3: Raad van Bestuur-panel (drie groepjes × 5+2 minuten)</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Simulatie</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3:15–3:30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Plenaire toets: zijn de feiten identiek gebleven? Afsluiting, vooruitblik deel 20</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Plenair</w:t>
            </w:r>
          </w:p>
        </w:tc>
      </w:tr>
    </w:tbl>
    <w:p>
      <w:pPr>
        <w:pStyle w:val="Heading2"/>
        <w:spacing w:after="160" w:before="360"/>
      </w:pPr>
      <w:r>
        <w:rPr>
          <w:rFonts w:ascii="Calibri" w:cs="Calibri" w:eastAsia="Calibri" w:hAnsi="Calibri"/>
          <w:b/>
          <w:bCs/>
          <w:color w:val="2C5AA0"/>
          <w:sz w:val="26"/>
          <w:szCs w:val="26"/>
        </w:rPr>
        <w:t xml:space="preserve">Rolverdeling en materialen voor de simulatie</w:t>
      </w:r>
    </w:p>
    <w:p>
      <w:pPr>
        <w:spacing w:after="180" w:line="300"/>
        <w:jc w:val="both"/>
      </w:pPr>
      <w:r>
        <w:rPr>
          <w:rFonts w:ascii="Calibri" w:cs="Calibri" w:eastAsia="Calibri" w:hAnsi="Calibri"/>
          <w:color w:val="1A1A1A"/>
          <w:sz w:val="21"/>
          <w:szCs w:val="21"/>
        </w:rPr>
        <w:t xml:space="preserve">Groepsgrootte: drie groepjes van drie à vier deelnemers, elk verantwoordelijk voor één risico (phishing-near-miss, sequencing-risico, leveranciersconcentratie).</w:t>
      </w:r>
    </w:p>
    <w:p>
      <w:pPr>
        <w:spacing w:after="180" w:line="300"/>
        <w:jc w:val="both"/>
      </w:pPr>
      <w:r>
        <w:rPr>
          <w:rFonts w:ascii="Calibri" w:cs="Calibri" w:eastAsia="Calibri" w:hAnsi="Calibri"/>
          <w:b/>
          <w:bCs/>
          <w:color w:val="1B2A4A"/>
          <w:sz w:val="21"/>
          <w:szCs w:val="21"/>
        </w:rPr>
        <w:t xml:space="preserve">Panelrollen</w:t>
      </w:r>
      <w:r>
        <w:rPr>
          <w:rFonts w:ascii="Calibri" w:cs="Calibri" w:eastAsia="Calibri" w:hAnsi="Calibri"/>
          <w:color w:val="1A1A1A"/>
          <w:sz w:val="21"/>
          <w:szCs w:val="21"/>
        </w:rPr>
        <w:t xml:space="preserve"> (docent of aangewezen deelnemers, bij voorkeur mensen die niet in de presenterende groepjes zitten):</w:t>
      </w:r>
    </w:p>
    <w:p>
      <w:pPr>
        <w:pStyle w:val="ListParagraph"/>
        <w:numPr>
          <w:ilvl w:val="0"/>
          <w:numId w:val="2"/>
        </w:numPr>
        <w:spacing w:after="100" w:line="280"/>
      </w:pPr>
      <w:r>
        <w:rPr>
          <w:rFonts w:ascii="Calibri" w:cs="Calibri" w:eastAsia="Calibri" w:hAnsi="Calibri"/>
          <w:color w:val="1A1A1A"/>
          <w:sz w:val="21"/>
          <w:szCs w:val="21"/>
        </w:rPr>
        <w:t xml:space="preserve">Projectteam-panel: twee à drie deelnemers, met de instructie uit paragraaf 19.5 van de reader.</w:t>
      </w:r>
    </w:p>
    <w:p>
      <w:pPr>
        <w:pStyle w:val="ListParagraph"/>
        <w:numPr>
          <w:ilvl w:val="0"/>
          <w:numId w:val="2"/>
        </w:numPr>
        <w:spacing w:after="100" w:line="280"/>
      </w:pPr>
      <w:r>
        <w:rPr>
          <w:rFonts w:ascii="Calibri" w:cs="Calibri" w:eastAsia="Calibri" w:hAnsi="Calibri"/>
          <w:color w:val="1A1A1A"/>
          <w:sz w:val="21"/>
          <w:szCs w:val="21"/>
        </w:rPr>
        <w:t xml:space="preserve">Sponsoring Group-panel: twee à drie deelnemers, eveneens geïnstrueerd.</w:t>
      </w:r>
    </w:p>
    <w:p>
      <w:pPr>
        <w:pStyle w:val="ListParagraph"/>
        <w:numPr>
          <w:ilvl w:val="0"/>
          <w:numId w:val="2"/>
        </w:numPr>
        <w:spacing w:after="100" w:line="280"/>
      </w:pPr>
      <w:r>
        <w:rPr>
          <w:rFonts w:ascii="Calibri" w:cs="Calibri" w:eastAsia="Calibri" w:hAnsi="Calibri"/>
          <w:color w:val="1A1A1A"/>
          <w:sz w:val="21"/>
          <w:szCs w:val="21"/>
        </w:rPr>
        <w:t xml:space="preserve">Raad van Bestuur-panel: twee à drie deelnemers, eveneens geïnstrueerd.</w:t>
      </w:r>
    </w:p>
    <w:p>
      <w:pPr>
        <w:spacing w:after="180" w:line="300"/>
        <w:jc w:val="both"/>
      </w:pPr>
      <w:r>
        <w:rPr>
          <w:rFonts w:ascii="Calibri" w:cs="Calibri" w:eastAsia="Calibri" w:hAnsi="Calibri"/>
          <w:b/>
          <w:bCs/>
          <w:color w:val="1B2A4A"/>
          <w:sz w:val="21"/>
          <w:szCs w:val="21"/>
        </w:rPr>
        <w:t xml:space="preserve">Materialen:</w:t>
      </w:r>
    </w:p>
    <w:p>
      <w:pPr>
        <w:pStyle w:val="ListParagraph"/>
        <w:numPr>
          <w:ilvl w:val="0"/>
          <w:numId w:val="2"/>
        </w:numPr>
        <w:spacing w:after="100" w:line="280"/>
      </w:pPr>
      <w:r>
        <w:rPr>
          <w:rFonts w:ascii="Calibri" w:cs="Calibri" w:eastAsia="Calibri" w:hAnsi="Calibri"/>
          <w:color w:val="1A1A1A"/>
          <w:sz w:val="21"/>
          <w:szCs w:val="21"/>
        </w:rPr>
        <w:t xml:space="preserve">Rolkaarten met de panelinstructies uit paragraaf 19.5, uitgedeeld vóór de simulatie begint.</w:t>
      </w:r>
    </w:p>
    <w:p>
      <w:pPr>
        <w:pStyle w:val="ListParagraph"/>
        <w:numPr>
          <w:ilvl w:val="0"/>
          <w:numId w:val="2"/>
        </w:numPr>
        <w:spacing w:after="100" w:line="280"/>
      </w:pPr>
      <w:r>
        <w:rPr>
          <w:rFonts w:ascii="Calibri" w:cs="Calibri" w:eastAsia="Calibri" w:hAnsi="Calibri"/>
          <w:color w:val="1A1A1A"/>
          <w:sz w:val="21"/>
          <w:szCs w:val="21"/>
        </w:rPr>
        <w:t xml:space="preserve">Een klok of timer, zichtbaar voor iedereen, om de 5+2-minutentijdslimiet te bewaken — dit is essentieel om alle negen presentaties (drie groepjes × drie gremia) binnen de tijd te houden.</w:t>
      </w:r>
    </w:p>
    <w:p>
      <w:pPr>
        <w:pStyle w:val="ListParagraph"/>
        <w:numPr>
          <w:ilvl w:val="0"/>
          <w:numId w:val="2"/>
        </w:numPr>
        <w:spacing w:after="100" w:line="280"/>
      </w:pPr>
      <w:r>
        <w:rPr>
          <w:rFonts w:ascii="Calibri" w:cs="Calibri" w:eastAsia="Calibri" w:hAnsi="Calibri"/>
          <w:color w:val="1A1A1A"/>
          <w:sz w:val="21"/>
          <w:szCs w:val="21"/>
        </w:rPr>
        <w:t xml:space="preserve">Een observatieformulier voor niet-presenterende deelnemers: ‘noteer één moment waarop de nadruk verschilde tussen gremia, en één moment (indien aanwezig) waarop een feit leek te zijn veranderd.’</w:t>
      </w:r>
    </w:p>
    <w:p>
      <w:pPr>
        <w:pStyle w:val="Heading2"/>
        <w:spacing w:after="160" w:before="360"/>
      </w:pPr>
      <w:r>
        <w:rPr>
          <w:rFonts w:ascii="Calibri" w:cs="Calibri" w:eastAsia="Calibri" w:hAnsi="Calibri"/>
          <w:b/>
          <w:bCs/>
          <w:color w:val="2C5AA0"/>
          <w:sz w:val="26"/>
          <w:szCs w:val="26"/>
        </w:rPr>
        <w:t xml:space="preserve">Valkuilen bij de uitleg</w:t>
      </w:r>
    </w:p>
    <w:p>
      <w:pPr>
        <w:pStyle w:val="ListParagraph"/>
        <w:numPr>
          <w:ilvl w:val="0"/>
          <w:numId w:val="2"/>
        </w:numPr>
        <w:spacing w:after="100" w:line="280"/>
      </w:pPr>
      <w:r>
        <w:rPr>
          <w:rFonts w:ascii="Calibri" w:cs="Calibri" w:eastAsia="Calibri" w:hAnsi="Calibri"/>
          <w:color w:val="1A1A1A"/>
          <w:sz w:val="21"/>
          <w:szCs w:val="21"/>
        </w:rPr>
        <w:t xml:space="preserve">De simulatie laten ontsporen door te lange presentaties. Bewaak de tijd strikt — vijf minuten is kort, en dat is precies het punt: een goede rapportage aan een druk gremium moet beknopt zijn. Kap presentaties desnoods af.</w:t>
      </w:r>
    </w:p>
    <w:p>
      <w:pPr>
        <w:pStyle w:val="ListParagraph"/>
        <w:numPr>
          <w:ilvl w:val="0"/>
          <w:numId w:val="2"/>
        </w:numPr>
        <w:spacing w:after="100" w:line="280"/>
      </w:pPr>
      <w:r>
        <w:rPr>
          <w:rFonts w:ascii="Calibri" w:cs="Calibri" w:eastAsia="Calibri" w:hAnsi="Calibri"/>
          <w:color w:val="1A1A1A"/>
          <w:sz w:val="21"/>
          <w:szCs w:val="21"/>
        </w:rPr>
        <w:t xml:space="preserve">Panelrollen te mild spelen. Een panel dat alles goedkeurt zonder kritische vragen, mist de leerwaarde. Herinner de rolspelers aan hun instructie: doorvragen, niet zomaar instemmen.</w:t>
      </w:r>
    </w:p>
    <w:p>
      <w:pPr>
        <w:pStyle w:val="ListParagraph"/>
        <w:numPr>
          <w:ilvl w:val="0"/>
          <w:numId w:val="2"/>
        </w:numPr>
        <w:spacing w:after="100" w:line="280"/>
      </w:pPr>
      <w:r>
        <w:rPr>
          <w:rFonts w:ascii="Calibri" w:cs="Calibri" w:eastAsia="Calibri" w:hAnsi="Calibri"/>
          <w:color w:val="1A1A1A"/>
          <w:sz w:val="21"/>
          <w:szCs w:val="21"/>
        </w:rPr>
        <w:t xml:space="preserve">De feitelijke-consistentie-toets aan het eind overslaan. Dit is het leermoment dat de kernregel ‘register bepaalt nadruk, nooit feiten’ echt laat landen. Neem hier bewust tijd voor, ook als de simulatie zelf is uitgelopen.</w:t>
      </w:r>
    </w:p>
    <w:p>
      <w:pPr>
        <w:pStyle w:val="ListParagraph"/>
        <w:numPr>
          <w:ilvl w:val="0"/>
          <w:numId w:val="2"/>
        </w:numPr>
        <w:spacing w:after="100" w:line="280"/>
      </w:pPr>
      <w:r>
        <w:rPr>
          <w:rFonts w:ascii="Calibri" w:cs="Calibri" w:eastAsia="Calibri" w:hAnsi="Calibri"/>
          <w:color w:val="1A1A1A"/>
          <w:sz w:val="21"/>
          <w:szCs w:val="21"/>
        </w:rPr>
        <w:t xml:space="preserve">Opdracht 19.2 te snel afraffelen in dagdeel 1. Dit is de directe voorbereiding op de simulatie in dagdeel 2 — een zwakke uitwerking hier leidt tot een zwakkere simulatie later. Zorg voor een goede, kritische nabespreking.</w:t>
      </w:r>
    </w:p>
    <w:p>
      <w:pPr>
        <w:pStyle w:val="Heading2"/>
        <w:spacing w:after="160" w:before="360"/>
      </w:pPr>
      <w:r>
        <w:rPr>
          <w:rFonts w:ascii="Calibri" w:cs="Calibri" w:eastAsia="Calibri" w:hAnsi="Calibri"/>
          <w:b/>
          <w:bCs/>
          <w:color w:val="2C5AA0"/>
          <w:sz w:val="26"/>
          <w:szCs w:val="26"/>
        </w:rPr>
        <w:t xml:space="preserve">Bij welke groep werkt dit hoe</w:t>
      </w:r>
    </w:p>
    <w:p>
      <w:pPr>
        <w:spacing w:after="180" w:line="300"/>
        <w:jc w:val="both"/>
      </w:pPr>
      <w:r>
        <w:rPr>
          <w:rFonts w:ascii="Calibri" w:cs="Calibri" w:eastAsia="Calibri" w:hAnsi="Calibri"/>
          <w:color w:val="1A1A1A"/>
          <w:sz w:val="21"/>
          <w:szCs w:val="21"/>
        </w:rPr>
        <w:t xml:space="preserve">Deelnemers met ervaring in bestuurlijke rapportage kunnen de rol van Raad van Bestuur-panel goed vervullen, met realistische kritische vragen. Zet hen daar bewust in.</w:t>
      </w:r>
    </w:p>
    <w:p>
      <w:pPr>
        <w:spacing w:after="180" w:line="300"/>
        <w:jc w:val="both"/>
      </w:pPr>
      <w:r>
        <w:rPr>
          <w:rFonts w:ascii="Calibri" w:cs="Calibri" w:eastAsia="Calibri" w:hAnsi="Calibri"/>
          <w:color w:val="1A1A1A"/>
          <w:sz w:val="21"/>
          <w:szCs w:val="21"/>
        </w:rPr>
        <w:t xml:space="preserve">Deelnemers die zelf vaak rapporteren aan een stuurgroep of vergelijkbaar gremium herkennen de dashboardvalkuil snel uit eigen ervaring — vraag hen naar concrete voorbeelden bij de opening van dagdeel 1.</w:t>
      </w:r>
    </w:p>
    <w:p>
      <w:pPr>
        <w:spacing w:after="180" w:line="300"/>
        <w:jc w:val="both"/>
      </w:pPr>
      <w:r>
        <w:rPr>
          <w:rFonts w:ascii="Calibri" w:cs="Calibri" w:eastAsia="Calibri" w:hAnsi="Calibri"/>
          <w:color w:val="1A1A1A"/>
          <w:sz w:val="21"/>
          <w:szCs w:val="21"/>
        </w:rPr>
        <w:t xml:space="preserve">Deelnemers die minder gewend zijn te presenteren kunnen baat hebben bij iets meer voorbereidingstijd. Overweeg, bij een groep met veel van dit profiel, de voorbereidingstijd in dagdeel 1 met vijftien minuten te verlengen ten koste van de discussie na opdracht 19.1.</w:t>
      </w:r>
    </w:p>
    <w:p>
      <w:pPr>
        <w:pStyle w:val="Heading2"/>
        <w:spacing w:after="160" w:before="360"/>
      </w:pPr>
      <w:r>
        <w:rPr>
          <w:rFonts w:ascii="Calibri" w:cs="Calibri" w:eastAsia="Calibri" w:hAnsi="Calibri"/>
          <w:b/>
          <w:bCs/>
          <w:color w:val="2C5AA0"/>
          <w:sz w:val="26"/>
          <w:szCs w:val="26"/>
        </w:rPr>
        <w:t xml:space="preserve">Discussievragen</w:t>
      </w:r>
    </w:p>
    <w:p>
      <w:pPr>
        <w:pStyle w:val="ListParagraph"/>
        <w:numPr>
          <w:ilvl w:val="0"/>
          <w:numId w:val="2"/>
        </w:numPr>
        <w:spacing w:after="100" w:line="280"/>
      </w:pPr>
      <w:r>
        <w:rPr>
          <w:rFonts w:ascii="Calibri" w:cs="Calibri" w:eastAsia="Calibri" w:hAnsi="Calibri"/>
          <w:color w:val="1A1A1A"/>
          <w:sz w:val="21"/>
          <w:szCs w:val="21"/>
        </w:rPr>
        <w:t xml:space="preserve">Heeft jouw organisatie één vast rapportageformat, of verzint elke afdeling opnieuw hoe risico's worden gerapporteerd?</w:t>
      </w:r>
    </w:p>
    <w:p>
      <w:pPr>
        <w:pStyle w:val="ListParagraph"/>
        <w:numPr>
          <w:ilvl w:val="0"/>
          <w:numId w:val="2"/>
        </w:numPr>
        <w:spacing w:after="100" w:line="280"/>
      </w:pPr>
      <w:r>
        <w:rPr>
          <w:rFonts w:ascii="Calibri" w:cs="Calibri" w:eastAsia="Calibri" w:hAnsi="Calibri"/>
          <w:color w:val="1A1A1A"/>
          <w:sz w:val="21"/>
          <w:szCs w:val="21"/>
        </w:rPr>
        <w:t xml:space="preserve">Ken je een voorbeeld waarin een rapportage aan een hoger gremium onbedoeld (of bedoeld) een rooskleuriger beeld gaf dan de onderliggende feiten rechtvaardigden?</w:t>
      </w:r>
    </w:p>
    <w:p>
      <w:pPr>
        <w:pStyle w:val="ListParagraph"/>
        <w:numPr>
          <w:ilvl w:val="0"/>
          <w:numId w:val="2"/>
        </w:numPr>
        <w:spacing w:after="100" w:line="280"/>
      </w:pPr>
      <w:r>
        <w:rPr>
          <w:rFonts w:ascii="Calibri" w:cs="Calibri" w:eastAsia="Calibri" w:hAnsi="Calibri"/>
          <w:color w:val="1A1A1A"/>
          <w:sz w:val="21"/>
          <w:szCs w:val="21"/>
        </w:rPr>
        <w:t xml:space="preserve">Eindigt de laatste rapportage die jij hebt geschreven of ontvangen met een concrete vraag, of met een samenvatting?</w:t>
      </w:r>
    </w:p>
    <w:p>
      <w:pPr>
        <w:pStyle w:val="Heading2"/>
        <w:spacing w:after="160" w:before="360"/>
      </w:pPr>
      <w:r>
        <w:rPr>
          <w:rFonts w:ascii="Calibri" w:cs="Calibri" w:eastAsia="Calibri" w:hAnsi="Calibri"/>
          <w:b/>
          <w:bCs/>
          <w:color w:val="2C5AA0"/>
          <w:sz w:val="26"/>
          <w:szCs w:val="26"/>
        </w:rPr>
        <w:t xml:space="preserve">Antwoordmodel voor de moeilijkste bespreking (de feitelijke-consistentie-toets)</w:t>
      </w:r>
    </w:p>
    <w:p>
      <w:pPr>
        <w:spacing w:after="180" w:line="300"/>
        <w:jc w:val="both"/>
      </w:pPr>
      <w:r>
        <w:rPr>
          <w:rFonts w:ascii="Calibri" w:cs="Calibri" w:eastAsia="Calibri" w:hAnsi="Calibri"/>
          <w:color w:val="1A1A1A"/>
          <w:sz w:val="21"/>
          <w:szCs w:val="21"/>
        </w:rPr>
        <w:t xml:space="preserve">Bij de plenaire nabespreking ontdekken groepjes soms dat ze, onbedoeld, in de Raad van Bestuur-versie een risico ‘geruststellender’ hadden geformuleerd dan in de projectteam-versie — bijvoorbeeld door een score niet te noemen, of door ‘beheerst risico’ te zeggen zonder de onderliggende kans te vermelden. Gebruik dit als leermoment, niet als afstraffing: vraag de groep was dit bewust, of gebeurde het vanzelf omdat het gremium het prettiger zou vinden? Bijna altijd is het antwoord het laatste — een onbewuste neiging om naar boven toe geruststellender te formuleren. Benoem dit expliciet als de belangrijkste valkuil van dit hele deel: niet opzettelijke misleiding, maar een sluipende, onbewuste verzachting die des te gevaarlijker is omdat niemand haar als oneerlijk bedoelt.</w:t>
      </w:r>
    </w:p>
    <w:p>
      <w:pPr>
        <w:pStyle w:val="Heading2"/>
        <w:spacing w:after="160" w:before="360"/>
      </w:pPr>
      <w:r>
        <w:rPr>
          <w:rFonts w:ascii="Calibri" w:cs="Calibri" w:eastAsia="Calibri" w:hAnsi="Calibri"/>
          <w:b/>
          <w:bCs/>
          <w:color w:val="2C5AA0"/>
          <w:sz w:val="26"/>
          <w:szCs w:val="26"/>
        </w:rPr>
        <w:t xml:space="preserve">Materiaal</w:t>
      </w:r>
    </w:p>
    <w:p>
      <w:pPr>
        <w:pStyle w:val="ListParagraph"/>
        <w:numPr>
          <w:ilvl w:val="0"/>
          <w:numId w:val="2"/>
        </w:numPr>
        <w:spacing w:after="100" w:line="280"/>
      </w:pPr>
      <w:r>
        <w:rPr>
          <w:rFonts w:ascii="Calibri" w:cs="Calibri" w:eastAsia="Calibri" w:hAnsi="Calibri"/>
          <w:color w:val="1A1A1A"/>
          <w:sz w:val="21"/>
          <w:szCs w:val="21"/>
        </w:rPr>
        <w:t xml:space="preserve">Panelrolkaarten (drie sets, één per gremium) met de instructies uit paragraaf 19.5.</w:t>
      </w:r>
    </w:p>
    <w:p>
      <w:pPr>
        <w:pStyle w:val="ListParagraph"/>
        <w:numPr>
          <w:ilvl w:val="0"/>
          <w:numId w:val="2"/>
        </w:numPr>
        <w:spacing w:after="100" w:line="280"/>
      </w:pPr>
      <w:r>
        <w:rPr>
          <w:rFonts w:ascii="Calibri" w:cs="Calibri" w:eastAsia="Calibri" w:hAnsi="Calibri"/>
          <w:color w:val="1A1A1A"/>
          <w:sz w:val="21"/>
          <w:szCs w:val="21"/>
        </w:rPr>
        <w:t xml:space="preserve">Een zichtbare timer voor de 5+2-minutenrondes.</w:t>
      </w:r>
    </w:p>
    <w:p>
      <w:pPr>
        <w:pStyle w:val="ListParagraph"/>
        <w:numPr>
          <w:ilvl w:val="0"/>
          <w:numId w:val="2"/>
        </w:numPr>
        <w:spacing w:after="100" w:line="280"/>
      </w:pPr>
      <w:r>
        <w:rPr>
          <w:rFonts w:ascii="Calibri" w:cs="Calibri" w:eastAsia="Calibri" w:hAnsi="Calibri"/>
          <w:color w:val="1A1A1A"/>
          <w:sz w:val="21"/>
          <w:szCs w:val="21"/>
        </w:rPr>
        <w:t xml:space="preserve">Observatieformulieren voor niet-presenterende deelnemers.</w:t>
      </w:r>
    </w:p>
    <w:p>
      <w:pPr>
        <w:pStyle w:val="ListParagraph"/>
        <w:numPr>
          <w:ilvl w:val="0"/>
          <w:numId w:val="2"/>
        </w:numPr>
        <w:spacing w:after="100" w:line="280"/>
      </w:pPr>
      <w:r>
        <w:rPr>
          <w:rFonts w:ascii="Calibri" w:cs="Calibri" w:eastAsia="Calibri" w:hAnsi="Calibri"/>
          <w:color w:val="1A1A1A"/>
          <w:sz w:val="21"/>
          <w:szCs w:val="21"/>
        </w:rPr>
        <w:t xml:space="preserve">Het vier-vragen-narratief-format (paragraaf 19.4) als vast uitdeelblad, te gebruiken bij de voorbereiding van elke versie.</w:t>
      </w:r>
    </w:p>
    <w:p>
      <w:pPr>
        <w:pStyle w:val="Heading2"/>
        <w:spacing w:after="160" w:before="360"/>
      </w:pPr>
      <w:r>
        <w:rPr>
          <w:rFonts w:ascii="Calibri" w:cs="Calibri" w:eastAsia="Calibri" w:hAnsi="Calibri"/>
          <w:b/>
          <w:bCs/>
          <w:color w:val="2C5AA0"/>
          <w:sz w:val="26"/>
          <w:szCs w:val="26"/>
        </w:rPr>
        <w:t xml:space="preserve">Aansluiting op deel 20</w:t>
      </w:r>
    </w:p>
    <w:p>
      <w:pPr>
        <w:spacing w:after="180" w:line="300"/>
        <w:jc w:val="both"/>
      </w:pPr>
      <w:r>
        <w:rPr>
          <w:rFonts w:ascii="Calibri" w:cs="Calibri" w:eastAsia="Calibri" w:hAnsi="Calibri"/>
          <w:color w:val="1A1A1A"/>
          <w:sz w:val="21"/>
          <w:szCs w:val="21"/>
        </w:rPr>
        <w:t xml:space="preserve">Sluit af met: techniek — registers, schalen, simulaties, rapportageformats — lost niet alles op. De onbewuste neiging om naar boven toe geruststellender te rapporteren, die in de nabespreking zichtbaar werd, is een cultuurvraagstuk, geen instrumentvraagstuk. Deel 20, los aanbiedbaar, gaat daar volledig over.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2026-08-17T06:32:22.604Z</dcterms:created>
  <dcterms:modified xsi:type="dcterms:W3CDTF">2026-08-17T06:32:22.605Z</dcterms:modified>
</cp:coreProperties>
</file>

<file path=docProps/custom.xml><?xml version="1.0" encoding="utf-8"?>
<Properties xmlns="http://schemas.openxmlformats.org/officeDocument/2006/custom-properties" xmlns:vt="http://schemas.openxmlformats.org/officeDocument/2006/docPropsVTypes"/>
</file>