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19 — Rapportage en besluitvorming</w:t>
      </w:r>
    </w:p>
    <w:p>
      <w:pPr>
        <w:spacing w:before="600"/>
        <w:jc w:val="center"/>
      </w:pPr>
      <w:r>
        <w:rPr>
          <w:rFonts w:ascii="Calibri" w:cs="Calibri" w:eastAsia="Calibri" w:hAnsi="Calibri"/>
          <w:b/>
          <w:bCs/>
          <w:color w:val="1B2A4A"/>
          <w:sz w:val="24"/>
          <w:szCs w:val="24"/>
        </w:rPr>
        <w:t xml:space="preserve">Niveau 2 — Professional</w:t>
      </w:r>
    </w:p>
    <w:p>
      <w:pPr>
        <w:spacing w:before="200"/>
        <w:jc w:val="center"/>
      </w:pPr>
      <w:r>
        <w:rPr>
          <w:rFonts w:ascii="Calibri" w:cs="Calibri" w:eastAsia="Calibri" w:hAnsi="Calibri"/>
          <w:i/>
          <w:iCs/>
          <w:color w:val="D99A3D"/>
          <w:sz w:val="24"/>
          <w:szCs w:val="24"/>
        </w:rPr>
        <w:t xml:space="preserve">Werkboek</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19 — Werkboek</w:t>
      </w:r>
    </w:p>
    <w:p>
      <w:pPr>
        <w:spacing w:after="180" w:line="300"/>
        <w:jc w:val="both"/>
      </w:pPr>
      <w:r>
        <w:rPr>
          <w:rFonts w:ascii="Calibri" w:cs="Calibri" w:eastAsia="Calibri" w:hAnsi="Calibri"/>
          <w:i/>
          <w:iCs/>
          <w:color w:val="1A1A1A"/>
          <w:sz w:val="21"/>
          <w:szCs w:val="21"/>
        </w:rPr>
        <w:t xml:space="preserve">Werk de opdrachten uit vóórdat je de uitwerking leest.</w:t>
      </w:r>
    </w:p>
    <w:p>
      <w:pPr>
        <w:pStyle w:val="Heading2"/>
        <w:spacing w:after="160" w:before="360"/>
      </w:pPr>
      <w:r>
        <w:rPr>
          <w:rFonts w:ascii="Calibri" w:cs="Calibri" w:eastAsia="Calibri" w:hAnsi="Calibri"/>
          <w:b/>
          <w:bCs/>
          <w:color w:val="2C5AA0"/>
          <w:sz w:val="26"/>
          <w:szCs w:val="26"/>
        </w:rPr>
        <w:t xml:space="preserve">Opdracht 19.1 — Herken de dashboardvalkuil</w:t>
      </w:r>
    </w:p>
    <w:p>
      <w:pPr>
        <w:spacing w:after="180" w:line="300"/>
        <w:jc w:val="both"/>
      </w:pPr>
      <w:r>
        <w:rPr>
          <w:rFonts w:ascii="Calibri" w:cs="Calibri" w:eastAsia="Calibri" w:hAnsi="Calibri"/>
          <w:color w:val="1A1A1A"/>
          <w:sz w:val="21"/>
          <w:szCs w:val="21"/>
        </w:rPr>
        <w:t xml:space="preserve">Voor elk van de volgende (fictieve) rapportagefragmenten: welke van de drie vormen van de dashboardvalkuil uit paragraaf 19.2 speelt hier?</w:t>
      </w:r>
    </w:p>
    <w:p>
      <w:pPr>
        <w:spacing w:after="180" w:line="300"/>
        <w:jc w:val="both"/>
      </w:pPr>
      <w:r>
        <w:rPr>
          <w:rFonts w:ascii="Calibri" w:cs="Calibri" w:eastAsia="Calibri" w:hAnsi="Calibri"/>
          <w:color w:val="1A1A1A"/>
          <w:sz w:val="21"/>
          <w:szCs w:val="21"/>
        </w:rPr>
        <w:t xml:space="preserve">a. ‘Alle twintig risico's staan hieronder vermeld, elk met een uitgebreide toelichting van een halve pagina.’</w:t>
      </w:r>
    </w:p>
    <w:p>
      <w:pPr>
        <w:spacing w:after="180" w:line="300"/>
        <w:jc w:val="both"/>
      </w:pPr>
      <w:r>
        <w:rPr>
          <w:rFonts w:ascii="Calibri" w:cs="Calibri" w:eastAsia="Calibri" w:hAnsi="Calibri"/>
          <w:color w:val="1A1A1A"/>
          <w:sz w:val="21"/>
          <w:szCs w:val="21"/>
        </w:rPr>
        <w:t xml:space="preserve">b. ‘Risico 7: rood. Risico 12: geel. Risico 18: rood.’ (zonder verdere toelichting)</w:t>
      </w:r>
    </w:p>
    <w:p>
      <w:pPr>
        <w:spacing w:after="180" w:line="300"/>
        <w:jc w:val="both"/>
      </w:pPr>
      <w:r>
        <w:rPr>
          <w:rFonts w:ascii="Calibri" w:cs="Calibri" w:eastAsia="Calibri" w:hAnsi="Calibri"/>
          <w:color w:val="1A1A1A"/>
          <w:sz w:val="21"/>
          <w:szCs w:val="21"/>
        </w:rPr>
        <w:t xml:space="preserve">c. ‘De verwachte kosten van optie A bedragen €287.432,18.’</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a. Alles even zwaar laten klinken. Geen prioritering, de ontvanger moet zelf uitzoeken waar de aandacht naartoe moet.
b. Kleuren zonder verhaal. Geen narratief over wat er is veranderd of waarom dit relevant is.
c. Precisie die niet bestaat. Een bedrag tot op de cent nauwkeurig, gebaseerd op aannames die zelf nooit zo precies kunnen zijn (vergelijk Kernzin 9, deel 14) — dit soort schijnprecisie hoort te worden afgerond en voorzien van een bandbreedte.</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19.2 — Vertaal naar drie gremia</w:t>
      </w:r>
    </w:p>
    <w:p>
      <w:pPr>
        <w:spacing w:after="180" w:line="300"/>
        <w:jc w:val="both"/>
      </w:pPr>
      <w:r>
        <w:rPr>
          <w:rFonts w:ascii="Calibri" w:cs="Calibri" w:eastAsia="Calibri" w:hAnsi="Calibri"/>
          <w:color w:val="1A1A1A"/>
          <w:sz w:val="21"/>
          <w:szCs w:val="21"/>
        </w:rPr>
        <w:t xml:space="preserve">Neem het volgende feit: ‘Het sequencing-risico tussen Project 3 en Project 5 heeft, volgens de Monte Carlo-simulatie uit deel 15, een kans van 62% om de deadline te halen; contingency op P80-niveau vereist twee extra weken.’ Formuleer voor elk van de drie gremia uit paragraaf 19.3 een korte (twee tot drie zinnen) rapportage van dit feit, met een passende hoofdvraag.</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Projectteams: ‘De simulatie laat zien dat we een reële kans lopen de huidige planning te missen. Voor Project 5 betekent dit: elke week vertraging in de opschoning heeft direct effect op wanneer Project 3 kan starten — graag deze week een update over de voortgang van de laatste opschoningsfase.’
Sponsoring Group: ‘Onze simulatie geeft 62% kans om de huidige deadline te halen. Om met 80% zekerheid op tijd te zijn, hebben we twee weken extra nodig. Wij vragen de Sponsoring Group in te stemmen met het verschuiven van de programmadeadline met twee weken, of, als dat niet gewenst is, akkoord te gaan met het risico dat we bij de huidige planning blijven.’
Raad van Bestuur: ‘Het Mutatieplatform-programma loopt een beheerst, gekwantificeerd risico op planningsvertraging van enkele weken. Dit risico wordt actief gemanaged binnen de vastgestelde risicobereidheid van het programma en heeft geen directe implicaties voor onze verplichtingen richting toezichthouders.’
Wat je hier moet meenemen: de onderliggende feiten (62%, twee weken, P80) zijn overal hetzelfde of consistent afgeleid — alleen het detailniveau en de framing rond het besluit verschillen. Dit is precies de kernregel ‘het register bepaalt de nadruk, nooit de feiten’ in de praktijk.</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19.3 — Eindig met een vraag</w:t>
      </w:r>
    </w:p>
    <w:p>
      <w:pPr>
        <w:spacing w:after="180" w:line="300"/>
        <w:jc w:val="both"/>
      </w:pPr>
      <w:r>
        <w:rPr>
          <w:rFonts w:ascii="Calibri" w:cs="Calibri" w:eastAsia="Calibri" w:hAnsi="Calibri"/>
          <w:color w:val="1A1A1A"/>
          <w:sz w:val="21"/>
          <w:szCs w:val="21"/>
        </w:rPr>
        <w:t xml:space="preserve">Herschrijf de volgende rapportagezin zodat hij voldoet aan Kernzin 13 — eindig met een concrete vraag aan de ontvanger.</w:t>
      </w:r>
    </w:p>
    <w:p>
      <w:pPr>
        <w:spacing w:after="180" w:line="300"/>
        <w:jc w:val="both"/>
      </w:pPr>
      <w:r>
        <w:rPr>
          <w:rFonts w:ascii="Calibri" w:cs="Calibri" w:eastAsia="Calibri" w:hAnsi="Calibri"/>
          <w:color w:val="1A1A1A"/>
          <w:sz w:val="21"/>
          <w:szCs w:val="21"/>
        </w:rPr>
        <w:t xml:space="preserve">‘Hierbij een overzicht van de status van het leveranciersconcentratierisico. Er zijn drie kritieke leveranciers geïdentificeerd zonder uitwijkmogelijkheid.’</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Voorbeeld van een herschreven versie: ‘Er zijn drie kritieke leveranciers geïdentificeerd zonder uitwijkmogelijkheid, wat een concentratierisico vormt voor het programma. Wij stellen voor budget vrij te maken voor een uitwijkscenario bij de meest kritieke van de drie (de leverancier van de Verwerkingsengine). Vragen wij de Sponsoring Group hiermee akkoord te gaan, of ziet u een andere prioritering?’
Wat je hier moet meenemen: de oorspronkelijke zin eindigt met een constatering (‘zonder uitwijkmogelijkheid’) — informatief, maar het laat de ontvanger niets te doen. De herschreven versie eindigt met een expliciete, beantwoordbare vraag.</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Zelftoets deel 19</w:t>
      </w:r>
    </w:p>
    <w:p>
      <w:pPr>
        <w:pStyle w:val="ListParagraph"/>
        <w:numPr>
          <w:ilvl w:val="0"/>
          <w:numId w:val="2"/>
        </w:numPr>
        <w:spacing w:after="100" w:line="280"/>
      </w:pPr>
      <w:r>
        <w:rPr>
          <w:rFonts w:ascii="Calibri" w:cs="Calibri" w:eastAsia="Calibri" w:hAnsi="Calibri"/>
          <w:color w:val="1A1A1A"/>
          <w:sz w:val="21"/>
          <w:szCs w:val="21"/>
        </w:rPr>
        <w:t xml:space="preserve">1. Wat is kernzin 13?</w:t>
      </w:r>
    </w:p>
    <w:p>
      <w:pPr>
        <w:pStyle w:val="ListParagraph"/>
        <w:numPr>
          <w:ilvl w:val="0"/>
          <w:numId w:val="2"/>
        </w:numPr>
        <w:spacing w:after="100" w:line="280"/>
      </w:pPr>
      <w:r>
        <w:rPr>
          <w:rFonts w:ascii="Calibri" w:cs="Calibri" w:eastAsia="Calibri" w:hAnsi="Calibri"/>
          <w:color w:val="1A1A1A"/>
          <w:sz w:val="21"/>
          <w:szCs w:val="21"/>
        </w:rPr>
        <w:t xml:space="preserve">2. Noem de drie vormen van de dashboardvalkuil uit dit deel, met een tegenmaatregel per vorm.</w:t>
      </w:r>
    </w:p>
    <w:p>
      <w:pPr>
        <w:pStyle w:val="ListParagraph"/>
        <w:numPr>
          <w:ilvl w:val="0"/>
          <w:numId w:val="2"/>
        </w:numPr>
        <w:spacing w:after="100" w:line="280"/>
      </w:pPr>
      <w:r>
        <w:rPr>
          <w:rFonts w:ascii="Calibri" w:cs="Calibri" w:eastAsia="Calibri" w:hAnsi="Calibri"/>
          <w:color w:val="1A1A1A"/>
          <w:sz w:val="21"/>
          <w:szCs w:val="21"/>
        </w:rPr>
        <w:t xml:space="preserve">3. Wat is de gedeelde familieregel over register en nadruk, en waarom is die belangrijk?</w:t>
      </w:r>
    </w:p>
    <w:p>
      <w:pPr>
        <w:pStyle w:val="ListParagraph"/>
        <w:numPr>
          <w:ilvl w:val="0"/>
          <w:numId w:val="2"/>
        </w:numPr>
        <w:spacing w:after="100" w:line="280"/>
      </w:pPr>
      <w:r>
        <w:rPr>
          <w:rFonts w:ascii="Calibri" w:cs="Calibri" w:eastAsia="Calibri" w:hAnsi="Calibri"/>
          <w:color w:val="1A1A1A"/>
          <w:sz w:val="21"/>
          <w:szCs w:val="21"/>
        </w:rPr>
        <w:t xml:space="preserve">4. Noem de drie gremia uit Sanne's week, hun perspectief, en hun hoofdvraag.</w:t>
      </w:r>
    </w:p>
    <w:p>
      <w:pPr>
        <w:pStyle w:val="ListParagraph"/>
        <w:numPr>
          <w:ilvl w:val="0"/>
          <w:numId w:val="2"/>
        </w:numPr>
        <w:spacing w:after="100" w:line="280"/>
      </w:pPr>
      <w:r>
        <w:rPr>
          <w:rFonts w:ascii="Calibri" w:cs="Calibri" w:eastAsia="Calibri" w:hAnsi="Calibri"/>
          <w:color w:val="1A1A1A"/>
          <w:sz w:val="21"/>
          <w:szCs w:val="21"/>
        </w:rPr>
        <w:t xml:space="preserve">5. Noem de vier vragen van het vaste narratief-format.</w:t>
      </w:r>
    </w:p>
    <w:p>
      <w:pPr>
        <w:pStyle w:val="ListParagraph"/>
        <w:numPr>
          <w:ilvl w:val="0"/>
          <w:numId w:val="2"/>
        </w:numPr>
        <w:spacing w:after="100" w:line="280"/>
      </w:pPr>
      <w:r>
        <w:rPr>
          <w:rFonts w:ascii="Calibri" w:cs="Calibri" w:eastAsia="Calibri" w:hAnsi="Calibri"/>
          <w:color w:val="1A1A1A"/>
          <w:sz w:val="21"/>
          <w:szCs w:val="21"/>
        </w:rPr>
        <w:t xml:space="preserve">6. Waarom biedt een goede rapportage opties met een voorkeur, in plaats van één enkelvoudig oordeel?</w:t>
      </w:r>
    </w:p>
    <w:p>
      <w:pPr>
        <w:pStyle w:val="ListParagraph"/>
        <w:numPr>
          <w:ilvl w:val="0"/>
          <w:numId w:val="2"/>
        </w:numPr>
        <w:spacing w:after="100" w:line="280"/>
      </w:pPr>
      <w:r>
        <w:rPr>
          <w:rFonts w:ascii="Calibri" w:cs="Calibri" w:eastAsia="Calibri" w:hAnsi="Calibri"/>
          <w:color w:val="1A1A1A"/>
          <w:sz w:val="21"/>
          <w:szCs w:val="21"/>
        </w:rPr>
        <w:t xml:space="preserve">7. Wat zou er mis zijn als twee versies van hetzelfde rapport, voor verschillende gremia, een andere onderliggende score voor hetzelfde risico laten zien?</w:t>
      </w:r>
    </w:p>
    <w:p>
      <w:pPr>
        <w:pStyle w:val="Heading2"/>
        <w:spacing w:after="160" w:before="360"/>
      </w:pPr>
      <w:r>
        <w:rPr>
          <w:rFonts w:ascii="Calibri" w:cs="Calibri" w:eastAsia="Calibri" w:hAnsi="Calibri"/>
          <w:b/>
          <w:bCs/>
          <w:color w:val="2C5AA0"/>
          <w:sz w:val="26"/>
          <w:szCs w:val="26"/>
        </w:rPr>
        <w:t xml:space="preserve">Antwoorden zelftoets</w:t>
      </w:r>
    </w:p>
    <w:p>
      <w:pPr>
        <w:spacing w:after="180" w:line="300"/>
        <w:jc w:val="both"/>
      </w:pPr>
      <w:r>
        <w:rPr>
          <w:rFonts w:ascii="Calibri" w:cs="Calibri" w:eastAsia="Calibri" w:hAnsi="Calibri"/>
          <w:color w:val="1A1A1A"/>
          <w:sz w:val="21"/>
          <w:szCs w:val="21"/>
        </w:rPr>
        <w:t xml:space="preserve">1. Een rapportage die niet eindigt met een vraag aan de ontvanger, is geen rapportage — het is een mededeling die toevallig risico's bevat.</w:t>
      </w:r>
    </w:p>
    <w:p>
      <w:pPr>
        <w:spacing w:after="180" w:line="300"/>
        <w:jc w:val="both"/>
      </w:pPr>
      <w:r>
        <w:rPr>
          <w:rFonts w:ascii="Calibri" w:cs="Calibri" w:eastAsia="Calibri" w:hAnsi="Calibri"/>
          <w:color w:val="1A1A1A"/>
          <w:sz w:val="21"/>
          <w:szCs w:val="21"/>
        </w:rPr>
        <w:t xml:space="preserve">2. Alles even zwaar laten klinken (tegenmaatregel: expliciete prioritering); kleuren zonder verhaal (tegenmaatregel: een kort narratief per rapportagecyclus); precisie die niet bestaat (tegenmaatregel: rapporteren in banden, met vermelding van de onderliggende aannames).</w:t>
      </w:r>
    </w:p>
    <w:p>
      <w:pPr>
        <w:spacing w:after="180" w:line="300"/>
        <w:jc w:val="both"/>
      </w:pPr>
      <w:r>
        <w:rPr>
          <w:rFonts w:ascii="Calibri" w:cs="Calibri" w:eastAsia="Calibri" w:hAnsi="Calibri"/>
          <w:color w:val="1A1A1A"/>
          <w:sz w:val="21"/>
          <w:szCs w:val="21"/>
        </w:rPr>
        <w:t xml:space="preserve">3. Het register bepaalt de nadruk, nooit de feiten — wat je benadrukt mag per gremium verschillen, maar de onderliggende feiten moeten in elk rapport identiek zijn. Zonder deze regel wordt vertalen naar perspectief een verdraaiing, wat op termijn het vertrouwen in de rapportagefunctie ondermijnt.</w:t>
      </w:r>
    </w:p>
    <w:p>
      <w:pPr>
        <w:spacing w:after="180" w:line="300"/>
        <w:jc w:val="both"/>
      </w:pPr>
      <w:r>
        <w:rPr>
          <w:rFonts w:ascii="Calibri" w:cs="Calibri" w:eastAsia="Calibri" w:hAnsi="Calibri"/>
          <w:color w:val="1A1A1A"/>
          <w:sz w:val="21"/>
          <w:szCs w:val="21"/>
        </w:rPr>
        <w:t xml:space="preserve">4. Projectteams (perspectief project/programma, hoofdvraag: wat moet ik anders doen); Sponsoring Group (perspectief programma/portfolio, hoofdvraag: welk besluit wordt gevraagd en wat kost uitstel); Raad van Bestuur (perspectief strategisch/extern, hoofdvraag: wat is onze blootstelling en zijn we in control).</w:t>
      </w:r>
    </w:p>
    <w:p>
      <w:pPr>
        <w:spacing w:after="180" w:line="300"/>
        <w:jc w:val="both"/>
      </w:pPr>
      <w:r>
        <w:rPr>
          <w:rFonts w:ascii="Calibri" w:cs="Calibri" w:eastAsia="Calibri" w:hAnsi="Calibri"/>
          <w:color w:val="1A1A1A"/>
          <w:sz w:val="21"/>
          <w:szCs w:val="21"/>
        </w:rPr>
        <w:t xml:space="preserve">5. Wat is er veranderd sinds de vorige rapportage? Welke risico's zijn geëscaleerd, en waarom? Welke acceptatiebesluiten zijn genomen? Welk besluit wordt nu van de ontvanger gevraagd?</w:t>
      </w:r>
    </w:p>
    <w:p>
      <w:pPr>
        <w:spacing w:after="180" w:line="300"/>
        <w:jc w:val="both"/>
      </w:pPr>
      <w:r>
        <w:rPr>
          <w:rFonts w:ascii="Calibri" w:cs="Calibri" w:eastAsia="Calibri" w:hAnsi="Calibri"/>
          <w:color w:val="1A1A1A"/>
          <w:sz w:val="21"/>
          <w:szCs w:val="21"/>
        </w:rPr>
        <w:t xml:space="preserve">6. Omdat de ontvanger verantwoordelijk is voor de uiteindelijke afweging, met name als risicobereidheid een rol speelt — een enkelvoudig oordeel dat alternatieven verdoezelt, ontneemt de ontvanger die rol.</w:t>
      </w:r>
    </w:p>
    <w:p>
      <w:pPr>
        <w:spacing w:after="180" w:line="300"/>
        <w:jc w:val="both"/>
      </w:pPr>
      <w:r>
        <w:rPr>
          <w:rFonts w:ascii="Calibri" w:cs="Calibri" w:eastAsia="Calibri" w:hAnsi="Calibri"/>
          <w:color w:val="1A1A1A"/>
          <w:sz w:val="21"/>
          <w:szCs w:val="21"/>
        </w:rPr>
        <w:t xml:space="preserve">7. Dat zou een verdraaiing zijn, geen vertaling — een overtreding van de gedeelde familieregel, en een teken dat het rapport de werkelijkheid aanpast aan wat het publiek wil horen in plaats van de werkelijkheid passend te presenteren.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2026-08-17T06:32:22.458Z</dcterms:created>
  <dcterms:modified xsi:type="dcterms:W3CDTF">2026-08-17T06:32:22.459Z</dcterms:modified>
</cp:coreProperties>
</file>

<file path=docProps/custom.xml><?xml version="1.0" encoding="utf-8"?>
<Properties xmlns="http://schemas.openxmlformats.org/officeDocument/2006/custom-properties" xmlns:vt="http://schemas.openxmlformats.org/officeDocument/2006/docPropsVTypes"/>
</file>