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20 — Risicocultuur en gedrag</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Docentenhandleiding (los aanbiedbaar)</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20 — Docentenhandleiding</w:t>
      </w:r>
    </w:p>
    <w:p>
      <w:pPr>
        <w:pStyle w:val="Heading2"/>
        <w:spacing w:after="160" w:before="360"/>
      </w:pPr>
      <w:r>
        <w:rPr>
          <w:rFonts w:ascii="Calibri" w:cs="Calibri" w:eastAsia="Calibri" w:hAnsi="Calibri"/>
          <w:b/>
          <w:bCs/>
          <w:color w:val="2C5AA0"/>
          <w:sz w:val="26"/>
          <w:szCs w:val="26"/>
        </w:rPr>
        <w:t xml:space="preserve">Positie van dit deel — en hoe het los aan te bieden</w:t>
      </w:r>
    </w:p>
    <w:p>
      <w:pPr>
        <w:spacing w:after="180" w:line="300"/>
        <w:jc w:val="both"/>
      </w:pPr>
      <w:r>
        <w:rPr>
          <w:rFonts w:ascii="Calibri" w:cs="Calibri" w:eastAsia="Calibri" w:hAnsi="Calibri"/>
          <w:color w:val="1A1A1A"/>
          <w:sz w:val="21"/>
          <w:szCs w:val="21"/>
        </w:rPr>
        <w:t xml:space="preserve">Dit deel is ontworpen om zowel binnen de volledige cursus als volledig zelfstandig te functioneren, bijvoorbeeld als workshop van een dagdeel voor een team of afdeling die geen behoefte heeft aan de rest van het risicomanagementtraject. Bij zelfstandig aanbieden: sla de verwijzingen naar eerdere delen over of behandel ze als illustratief voorbeeld, niet als vereiste voorkennis. De kernstof (vertekeningen, psychologische veiligheid, volwassenheidsmodel, interventies) staat op zichzelf.</w:t>
      </w:r>
    </w:p>
    <w:p>
      <w:pPr>
        <w:spacing w:after="180" w:line="300"/>
        <w:jc w:val="both"/>
      </w:pPr>
      <w:r>
        <w:rPr>
          <w:rFonts w:ascii="Calibri" w:cs="Calibri" w:eastAsia="Calibri" w:hAnsi="Calibri"/>
          <w:color w:val="1A1A1A"/>
          <w:sz w:val="21"/>
          <w:szCs w:val="21"/>
        </w:rPr>
        <w:t xml:space="preserve">Bij aanbieding binnen de volledige cursus: gebruik de opening (20.0) als directe voortzetting van de ontdekking aan het eind van deel 19 — dat maakt de overgang naar dit meer gedragswetenschappelijke onderwerp organisch.</w:t>
      </w:r>
    </w:p>
    <w:p>
      <w:pPr>
        <w:spacing w:after="180" w:line="300"/>
        <w:jc w:val="both"/>
      </w:pPr>
      <w:r>
        <w:rPr>
          <w:rFonts w:ascii="Calibri" w:cs="Calibri" w:eastAsia="Calibri" w:hAnsi="Calibri"/>
          <w:color w:val="1A1A1A"/>
          <w:sz w:val="21"/>
          <w:szCs w:val="21"/>
        </w:rPr>
        <w:t xml:space="preserve">Dit deel vraagt een andere toon dan de meeste andere delen: minder instrumenteel, meer reflectief. Sta jezelf en de groep toe hier meer ruimte te nemen voor persoonlijke herkenning en minder voor het ‘juiste antwoord’ — de opdrachten in dit deel hebben bewust geen enkelvoudig correct antwoord.</w:t>
      </w:r>
    </w:p>
    <w:p>
      <w:pPr>
        <w:pStyle w:val="Heading2"/>
        <w:spacing w:after="160" w:before="360"/>
      </w:pPr>
      <w:r>
        <w:rPr>
          <w:rFonts w:ascii="Calibri" w:cs="Calibri" w:eastAsia="Calibri" w:hAnsi="Calibri"/>
          <w:b/>
          <w:bCs/>
          <w:color w:val="2C5AA0"/>
          <w:sz w:val="26"/>
          <w:szCs w:val="26"/>
        </w:rPr>
        <w:t xml:space="preserve">Leerdoelen</w:t>
      </w:r>
    </w:p>
    <w:p>
      <w:pPr>
        <w:pStyle w:val="ListParagraph"/>
        <w:numPr>
          <w:ilvl w:val="0"/>
          <w:numId w:val="2"/>
        </w:numPr>
        <w:spacing w:after="100" w:line="280"/>
      </w:pPr>
      <w:r>
        <w:rPr>
          <w:rFonts w:ascii="Calibri" w:cs="Calibri" w:eastAsia="Calibri" w:hAnsi="Calibri"/>
          <w:color w:val="1A1A1A"/>
          <w:sz w:val="21"/>
          <w:szCs w:val="21"/>
        </w:rPr>
        <w:t xml:space="preserve">uitleggen waarom techniek alleen onvoldoende is voor goed risicomanagement, met verwijzing naar ISO 31000's achtste principe</w:t>
      </w:r>
    </w:p>
    <w:p>
      <w:pPr>
        <w:pStyle w:val="ListParagraph"/>
        <w:numPr>
          <w:ilvl w:val="0"/>
          <w:numId w:val="2"/>
        </w:numPr>
        <w:spacing w:after="100" w:line="280"/>
      </w:pPr>
      <w:r>
        <w:rPr>
          <w:rFonts w:ascii="Calibri" w:cs="Calibri" w:eastAsia="Calibri" w:hAnsi="Calibri"/>
          <w:color w:val="1A1A1A"/>
          <w:sz w:val="21"/>
          <w:szCs w:val="21"/>
        </w:rPr>
        <w:t xml:space="preserve">de vier vertekeningen (optimism bias, normalcy bias, bevestigingsbias, verankering) herkennen in een gegeven situatie</w:t>
      </w:r>
    </w:p>
    <w:p>
      <w:pPr>
        <w:pStyle w:val="ListParagraph"/>
        <w:numPr>
          <w:ilvl w:val="0"/>
          <w:numId w:val="2"/>
        </w:numPr>
        <w:spacing w:after="100" w:line="280"/>
      </w:pPr>
      <w:r>
        <w:rPr>
          <w:rFonts w:ascii="Calibri" w:cs="Calibri" w:eastAsia="Calibri" w:hAnsi="Calibri"/>
          <w:color w:val="1A1A1A"/>
          <w:sz w:val="21"/>
          <w:szCs w:val="21"/>
        </w:rPr>
        <w:t xml:space="preserve">psychologische veiligheid definiëren en drie signalen van een gebrek eraan herkennen in een risicomanagementcontext</w:t>
      </w:r>
    </w:p>
    <w:p>
      <w:pPr>
        <w:pStyle w:val="ListParagraph"/>
        <w:numPr>
          <w:ilvl w:val="0"/>
          <w:numId w:val="2"/>
        </w:numPr>
        <w:spacing w:after="100" w:line="280"/>
      </w:pPr>
      <w:r>
        <w:rPr>
          <w:rFonts w:ascii="Calibri" w:cs="Calibri" w:eastAsia="Calibri" w:hAnsi="Calibri"/>
          <w:color w:val="1A1A1A"/>
          <w:sz w:val="21"/>
          <w:szCs w:val="21"/>
        </w:rPr>
        <w:t xml:space="preserve">het vijfniveau-volwassenheidsmodel toepassen op een eigen team of organisatie, met waarneembare onderbouwing</w:t>
      </w:r>
    </w:p>
    <w:p>
      <w:pPr>
        <w:pStyle w:val="ListParagraph"/>
        <w:numPr>
          <w:ilvl w:val="0"/>
          <w:numId w:val="2"/>
        </w:numPr>
        <w:spacing w:after="100" w:line="280"/>
      </w:pPr>
      <w:r>
        <w:rPr>
          <w:rFonts w:ascii="Calibri" w:cs="Calibri" w:eastAsia="Calibri" w:hAnsi="Calibri"/>
          <w:color w:val="1A1A1A"/>
          <w:sz w:val="21"/>
          <w:szCs w:val="21"/>
        </w:rPr>
        <w:t xml:space="preserve">een concrete, uitvoerbare interventie ontwerpen gericht op een van de behandelde mechanismen</w:t>
      </w:r>
    </w:p>
    <w:p>
      <w:pPr>
        <w:pStyle w:val="Heading2"/>
        <w:spacing w:after="160" w:before="360"/>
      </w:pPr>
      <w:r>
        <w:rPr>
          <w:rFonts w:ascii="Calibri" w:cs="Calibri" w:eastAsia="Calibri" w:hAnsi="Calibri"/>
          <w:b/>
          <w:bCs/>
          <w:color w:val="2C5AA0"/>
          <w:sz w:val="26"/>
          <w:szCs w:val="26"/>
        </w:rPr>
        <w:t xml:space="preserve">Tijdsindeling (één dagdeel, 3 uur 30 — zelfstandig te gebruiken)</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5142"/>
        <w:gridCol w:w="2524"/>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55%"/>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27%"/>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0:00–0:20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Opening: de ontdekking die techniek niet oplost (of, bij zelfstandig aanbieden: een korte eigen anekdote)</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Vertelling, slides 3–5</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0:20–0:30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Kernzin 14, waarom techniek niet volstaat</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6–7</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0:30–1:00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Vier vertekeningen</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8–13</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1:00–1:20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Opdracht 20.1</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Individueel, dan plenair</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1:20–1:35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1:35–2:05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Psychologische veiligheid, drie signalen</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14–17</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2:05–2:35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Opdracht 20.2 — zelfreflectie op eigen team</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Individueel, optioneel delen in tweetallen</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2:35–2:50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2:50–3:10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Vijf niveaus risicovolwassenheid, opdracht 20.3</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18–20</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3:10–3:25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Vier interventies, opdracht 20.4</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21–22</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3:25–3:30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Afsluiting (en, indien onderdeel van de volledige cursus: vooruitblik deel 21)</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 23</w:t>
            </w:r>
          </w:p>
        </w:tc>
      </w:tr>
    </w:tbl>
    <w:p>
      <w:pPr>
        <w:spacing w:after="180" w:line="300"/>
        <w:jc w:val="both"/>
      </w:pPr>
      <w:r>
        <w:rPr>
          <w:rFonts w:ascii="Calibri" w:cs="Calibri" w:eastAsia="Calibri" w:hAnsi="Calibri"/>
          <w:color w:val="1A1A1A"/>
          <w:sz w:val="21"/>
          <w:szCs w:val="21"/>
        </w:rPr>
        <w:t xml:space="preserve">Bij zelfstandig aanbieden als workshop: overweeg de sessie af te sluiten met een concrete, gezamenlijke actie — bijvoorbeeld dat elke deelnemer één interventie uit opdracht 20.4 daadwerkelijk toezegt uit te voeren, met een vervolgmoment (bijvoorbeeld via e-mail) na vier weken om te horen wat het heeft opgeleverd.</w:t>
      </w:r>
    </w:p>
    <w:p>
      <w:pPr>
        <w:pStyle w:val="Heading2"/>
        <w:spacing w:after="160" w:before="360"/>
      </w:pPr>
      <w:r>
        <w:rPr>
          <w:rFonts w:ascii="Calibri" w:cs="Calibri" w:eastAsia="Calibri" w:hAnsi="Calibri"/>
          <w:b/>
          <w:bCs/>
          <w:color w:val="2C5AA0"/>
          <w:sz w:val="26"/>
          <w:szCs w:val="26"/>
        </w:rPr>
        <w:t xml:space="preserve">Valkuilen bij de uitleg</w:t>
      </w:r>
    </w:p>
    <w:p>
      <w:pPr>
        <w:pStyle w:val="ListParagraph"/>
        <w:numPr>
          <w:ilvl w:val="0"/>
          <w:numId w:val="2"/>
        </w:numPr>
        <w:spacing w:after="100" w:line="280"/>
      </w:pPr>
      <w:r>
        <w:rPr>
          <w:rFonts w:ascii="Calibri" w:cs="Calibri" w:eastAsia="Calibri" w:hAnsi="Calibri"/>
          <w:color w:val="1A1A1A"/>
          <w:sz w:val="21"/>
          <w:szCs w:val="21"/>
        </w:rPr>
        <w:t xml:space="preserve">Dit deel te theoretisch/academisch houden. De kracht van dit onderwerp zit in herkenning, niet in kennis van de begrippen. Zorg dat elke vertekening en elk signaal met een concreet, herkenbaar voorbeeld wordt geïllustreerd, bij voorkeur ingebracht door de groep zelf.</w:t>
      </w:r>
    </w:p>
    <w:p>
      <w:pPr>
        <w:pStyle w:val="ListParagraph"/>
        <w:numPr>
          <w:ilvl w:val="0"/>
          <w:numId w:val="2"/>
        </w:numPr>
        <w:spacing w:after="100" w:line="280"/>
      </w:pPr>
      <w:r>
        <w:rPr>
          <w:rFonts w:ascii="Calibri" w:cs="Calibri" w:eastAsia="Calibri" w:hAnsi="Calibri"/>
          <w:color w:val="1A1A1A"/>
          <w:sz w:val="21"/>
          <w:szCs w:val="21"/>
        </w:rPr>
        <w:t xml:space="preserve">Opdracht 20.2 als verplicht plenair deelmoment behandelen. Vragen naar de eigen ervaring met psychologische veiligheid kan gevoelig liggen, zeker als leidinggevenden en teamleden samen in de zaal zitten. Bied nadrukkelijk de ruimte om dit voor zichzelf te houden of alleen in vertrouwen met een tweetal te delen, niet plenair.</w:t>
      </w:r>
    </w:p>
    <w:p>
      <w:pPr>
        <w:pStyle w:val="ListParagraph"/>
        <w:numPr>
          <w:ilvl w:val="0"/>
          <w:numId w:val="2"/>
        </w:numPr>
        <w:spacing w:after="100" w:line="280"/>
      </w:pPr>
      <w:r>
        <w:rPr>
          <w:rFonts w:ascii="Calibri" w:cs="Calibri" w:eastAsia="Calibri" w:hAnsi="Calibri"/>
          <w:color w:val="1A1A1A"/>
          <w:sz w:val="21"/>
          <w:szCs w:val="21"/>
        </w:rPr>
        <w:t xml:space="preserve">Het volwassenheidsmodel laten voelen als een beoordeling of ranking tussen teams. Herhaal expliciet: dit is een diagnose-instrument voor het eigen team, geen vergelijking tussen teams of een prestatiemeting die ergens wordt gerapporteerd.</w:t>
      </w:r>
    </w:p>
    <w:p>
      <w:pPr>
        <w:pStyle w:val="ListParagraph"/>
        <w:numPr>
          <w:ilvl w:val="0"/>
          <w:numId w:val="2"/>
        </w:numPr>
        <w:spacing w:after="100" w:line="280"/>
      </w:pPr>
      <w:r>
        <w:rPr>
          <w:rFonts w:ascii="Calibri" w:cs="Calibri" w:eastAsia="Calibri" w:hAnsi="Calibri"/>
          <w:color w:val="1A1A1A"/>
          <w:sz w:val="21"/>
          <w:szCs w:val="21"/>
        </w:rPr>
        <w:t xml:space="preserve">Normalisering van afwijking alleen abstract behandelen. Gebruik het WGP 2.0-voorbeeld (of, bij zelfstandig aanbieden, een generiek voorbeeld uit de veiligheidswetenschap of de eigen ervaring van de docent) om het concreet te maken — een geleidelijke verschuiving is voor de meeste mensen makkelijker te herkennen aan de hand van een verhaal dan aan de hand van een definitie.</w:t>
      </w:r>
    </w:p>
    <w:p>
      <w:pPr>
        <w:pStyle w:val="Heading2"/>
        <w:spacing w:after="160" w:before="360"/>
      </w:pPr>
      <w:r>
        <w:rPr>
          <w:rFonts w:ascii="Calibri" w:cs="Calibri" w:eastAsia="Calibri" w:hAnsi="Calibri"/>
          <w:b/>
          <w:bCs/>
          <w:color w:val="2C5AA0"/>
          <w:sz w:val="26"/>
          <w:szCs w:val="26"/>
        </w:rPr>
        <w:t xml:space="preserve">Bij welke groep werkt dit hoe</w:t>
      </w:r>
    </w:p>
    <w:p>
      <w:pPr>
        <w:spacing w:after="180" w:line="300"/>
        <w:jc w:val="both"/>
      </w:pPr>
      <w:r>
        <w:rPr>
          <w:rFonts w:ascii="Calibri" w:cs="Calibri" w:eastAsia="Calibri" w:hAnsi="Calibri"/>
          <w:color w:val="1A1A1A"/>
          <w:sz w:val="21"/>
          <w:szCs w:val="21"/>
        </w:rPr>
        <w:t xml:space="preserve">Gemengde groepen van leidinggevenden en teamleden: wees alert op machtsdynamiek bij opdracht 20.2 en 20.3 — een teamlid voelt zich mogelijk niet vrij om eerlijk te zijn over een gebrek aan psychologische veiligheid waar de eigen leidinggevende bij zit. Overweeg voor deze opdrachten aparte, gescheiden groepjes.</w:t>
      </w:r>
    </w:p>
    <w:p>
      <w:pPr>
        <w:spacing w:after="180" w:line="300"/>
        <w:jc w:val="both"/>
      </w:pPr>
      <w:r>
        <w:rPr>
          <w:rFonts w:ascii="Calibri" w:cs="Calibri" w:eastAsia="Calibri" w:hAnsi="Calibri"/>
          <w:color w:val="1A1A1A"/>
          <w:sz w:val="21"/>
          <w:szCs w:val="21"/>
        </w:rPr>
        <w:t xml:space="preserve">Teams die zichzelf als ‘open’ en ‘goed presterend’ beschouwen kunnen in eerste instantie weerstand voelen tegen de suggestie dat zij last hebben van deze vertekeningen. Benadruk dat dit universele menselijke patronen zijn, geen persoonlijke tekortkoming — zelfs de meest ervaren, capabele teams zijn er vatbaar voor, vaak juist ómdat succes de neiging tot optimism bias en normalisering van afwijking versterkt.</w:t>
      </w:r>
    </w:p>
    <w:p>
      <w:pPr>
        <w:spacing w:after="180" w:line="300"/>
        <w:jc w:val="both"/>
      </w:pPr>
      <w:r>
        <w:rPr>
          <w:rFonts w:ascii="Calibri" w:cs="Calibri" w:eastAsia="Calibri" w:hAnsi="Calibri"/>
          <w:color w:val="1A1A1A"/>
          <w:sz w:val="21"/>
          <w:szCs w:val="21"/>
        </w:rPr>
        <w:t xml:space="preserve">Deelnemers uit een sterk technische of kwantitatieve achtergrond (bijvoorbeeld na deelname aan deel 14-15-16 van deze cursus) kunnen dit deel als ‘zachter’ en minder waardevol ervaren dan de kwantitatieve delen. Gebruik juist hún ervaring: vraag of de precisie van een Monte Carlo-simulatie iets verandert aan de kwaliteit van de oorspronkelijke schattingen, als die schattingen zelf al door optimism bias zijn gekleurd (het antwoord is nee — een directe, concrete illustratie van waarom dit deel net zo essentieel is als de technische delen).</w:t>
      </w:r>
    </w:p>
    <w:p>
      <w:pPr>
        <w:pStyle w:val="Heading2"/>
        <w:spacing w:after="160" w:before="360"/>
      </w:pPr>
      <w:r>
        <w:rPr>
          <w:rFonts w:ascii="Calibri" w:cs="Calibri" w:eastAsia="Calibri" w:hAnsi="Calibri"/>
          <w:b/>
          <w:bCs/>
          <w:color w:val="2C5AA0"/>
          <w:sz w:val="26"/>
          <w:szCs w:val="26"/>
        </w:rPr>
        <w:t xml:space="preserve">Discussievragen</w:t>
      </w:r>
    </w:p>
    <w:p>
      <w:pPr>
        <w:pStyle w:val="ListParagraph"/>
        <w:numPr>
          <w:ilvl w:val="0"/>
          <w:numId w:val="2"/>
        </w:numPr>
        <w:spacing w:after="100" w:line="280"/>
      </w:pPr>
      <w:r>
        <w:rPr>
          <w:rFonts w:ascii="Calibri" w:cs="Calibri" w:eastAsia="Calibri" w:hAnsi="Calibri"/>
          <w:color w:val="1A1A1A"/>
          <w:sz w:val="21"/>
          <w:szCs w:val="21"/>
        </w:rPr>
        <w:t xml:space="preserve">Kun je een voorbeeld noemen van een afwijking in jouw organisatie die geleidelijk ‘normaal’ is geworden, zonder dat iemand een bewust besluit heeft genomen dat dit acceptabel was?</w:t>
      </w:r>
    </w:p>
    <w:p>
      <w:pPr>
        <w:pStyle w:val="ListParagraph"/>
        <w:numPr>
          <w:ilvl w:val="0"/>
          <w:numId w:val="2"/>
        </w:numPr>
        <w:spacing w:after="100" w:line="280"/>
      </w:pPr>
      <w:r>
        <w:rPr>
          <w:rFonts w:ascii="Calibri" w:cs="Calibri" w:eastAsia="Calibri" w:hAnsi="Calibri"/>
          <w:color w:val="1A1A1A"/>
          <w:sz w:val="21"/>
          <w:szCs w:val="21"/>
        </w:rPr>
        <w:t xml:space="preserve">Wanneer heb jij voor het laatst een risico niet gemeld omdat het ongemakkelijk voelde? Wat zou het voor jou makkelijker hebben gemaakt?</w:t>
      </w:r>
    </w:p>
    <w:p>
      <w:pPr>
        <w:pStyle w:val="ListParagraph"/>
        <w:numPr>
          <w:ilvl w:val="0"/>
          <w:numId w:val="2"/>
        </w:numPr>
        <w:spacing w:after="100" w:line="280"/>
      </w:pPr>
      <w:r>
        <w:rPr>
          <w:rFonts w:ascii="Calibri" w:cs="Calibri" w:eastAsia="Calibri" w:hAnsi="Calibri"/>
          <w:color w:val="1A1A1A"/>
          <w:sz w:val="21"/>
          <w:szCs w:val="21"/>
        </w:rPr>
        <w:t xml:space="preserve">Is er in jouw organisatie een voorbeeld van iemand die is ‘afgestraft’ (expliciet of subtiel) voor het melden van een risico dat zich uiteindelijk niet voordeed?</w:t>
      </w:r>
    </w:p>
    <w:p>
      <w:pPr>
        <w:pStyle w:val="Heading2"/>
        <w:spacing w:after="160" w:before="360"/>
      </w:pPr>
      <w:r>
        <w:rPr>
          <w:rFonts w:ascii="Calibri" w:cs="Calibri" w:eastAsia="Calibri" w:hAnsi="Calibri"/>
          <w:b/>
          <w:bCs/>
          <w:color w:val="2C5AA0"/>
          <w:sz w:val="26"/>
          <w:szCs w:val="26"/>
        </w:rPr>
        <w:t xml:space="preserve">Antwoordmodel voor de moeilijkste bespreking (opdracht 20.1, onderdeel a)</w:t>
      </w:r>
    </w:p>
    <w:p>
      <w:pPr>
        <w:spacing w:after="180" w:line="300"/>
        <w:jc w:val="both"/>
      </w:pPr>
      <w:r>
        <w:rPr>
          <w:rFonts w:ascii="Calibri" w:cs="Calibri" w:eastAsia="Calibri" w:hAnsi="Calibri"/>
          <w:color w:val="1A1A1A"/>
          <w:sz w:val="21"/>
          <w:szCs w:val="21"/>
        </w:rPr>
        <w:t xml:space="preserve">Deelnemers identificeren onderdeel a vaak alleen als ‘normalcy bias’, omdat de nadruk op herhaling ligt. Wijs op de aanvullende laag: het weg wegzetten van elk incident als ‘toeval’ of ‘uitzondering’ is zelf een teken van bevestigingsbias — de bestaande overtuiging (‘deze leverancier is prima’) kleurt hoe nieuwe, potentieel tegenstrijdige informatie wordt geïnterpreteerd. Vraag door: als dezelfde twee incidenten waren gebeurd met een leverancier die het team al wantrouwde, zouden ze dan ook als ‘toeval’ zijn afgedaan? Waarschijnlijk niet — en dat verschil in interpretatie, afhankelijk van de bestaande overtuiging, is precies bevestigingsbias in actie. Dit laat zien dat vertekeningen zelden geïsoleerd optreden; ze versterken elkaar vaak.</w:t>
      </w:r>
    </w:p>
    <w:p>
      <w:pPr>
        <w:pStyle w:val="Heading2"/>
        <w:spacing w:after="160" w:before="360"/>
      </w:pPr>
      <w:r>
        <w:rPr>
          <w:rFonts w:ascii="Calibri" w:cs="Calibri" w:eastAsia="Calibri" w:hAnsi="Calibri"/>
          <w:b/>
          <w:bCs/>
          <w:color w:val="2C5AA0"/>
          <w:sz w:val="26"/>
          <w:szCs w:val="26"/>
        </w:rPr>
        <w:t xml:space="preserve">Materiaal</w:t>
      </w:r>
    </w:p>
    <w:p>
      <w:pPr>
        <w:pStyle w:val="ListParagraph"/>
        <w:numPr>
          <w:ilvl w:val="0"/>
          <w:numId w:val="2"/>
        </w:numPr>
        <w:spacing w:after="100" w:line="280"/>
      </w:pPr>
      <w:r>
        <w:rPr>
          <w:rFonts w:ascii="Calibri" w:cs="Calibri" w:eastAsia="Calibri" w:hAnsi="Calibri"/>
          <w:color w:val="1A1A1A"/>
          <w:sz w:val="21"/>
          <w:szCs w:val="21"/>
        </w:rPr>
        <w:t xml:space="preserve">Geen specifiek technisch materiaal vereist — dit deel is het minst instrumentgedreven van de hele cursus.</w:t>
      </w:r>
    </w:p>
    <w:p>
      <w:pPr>
        <w:pStyle w:val="ListParagraph"/>
        <w:numPr>
          <w:ilvl w:val="0"/>
          <w:numId w:val="2"/>
        </w:numPr>
        <w:spacing w:after="100" w:line="280"/>
      </w:pPr>
      <w:r>
        <w:rPr>
          <w:rFonts w:ascii="Calibri" w:cs="Calibri" w:eastAsia="Calibri" w:hAnsi="Calibri"/>
          <w:color w:val="1A1A1A"/>
          <w:sz w:val="21"/>
          <w:szCs w:val="21"/>
        </w:rPr>
        <w:t xml:space="preserve">Optioneel: kaartjes met de vier vertekeningen en hun definities, voor een sorteeropdracht bij opdracht 20.1.</w:t>
      </w:r>
    </w:p>
    <w:p>
      <w:pPr>
        <w:pStyle w:val="ListParagraph"/>
        <w:numPr>
          <w:ilvl w:val="0"/>
          <w:numId w:val="2"/>
        </w:numPr>
        <w:spacing w:after="100" w:line="280"/>
      </w:pPr>
      <w:r>
        <w:rPr>
          <w:rFonts w:ascii="Calibri" w:cs="Calibri" w:eastAsia="Calibri" w:hAnsi="Calibri"/>
          <w:color w:val="1A1A1A"/>
          <w:sz w:val="21"/>
          <w:szCs w:val="21"/>
        </w:rPr>
        <w:t xml:space="preserve">Het volwassenheidsmodel (paragraaf 20.4) als uitdeelblad voor opdracht 20.3.</w:t>
      </w:r>
    </w:p>
    <w:p>
      <w:pPr>
        <w:pStyle w:val="Heading2"/>
        <w:spacing w:after="160" w:before="360"/>
      </w:pPr>
      <w:r>
        <w:rPr>
          <w:rFonts w:ascii="Calibri" w:cs="Calibri" w:eastAsia="Calibri" w:hAnsi="Calibri"/>
          <w:b/>
          <w:bCs/>
          <w:color w:val="2C5AA0"/>
          <w:sz w:val="26"/>
          <w:szCs w:val="26"/>
        </w:rPr>
        <w:t xml:space="preserve">Aansluiting op deel 21 (voor wie de volledige cursus volgt)</w:t>
      </w:r>
    </w:p>
    <w:p>
      <w:pPr>
        <w:spacing w:after="180" w:line="300"/>
        <w:jc w:val="both"/>
      </w:pPr>
      <w:r>
        <w:rPr>
          <w:rFonts w:ascii="Calibri" w:cs="Calibri" w:eastAsia="Calibri" w:hAnsi="Calibri"/>
          <w:color w:val="1A1A1A"/>
          <w:sz w:val="21"/>
          <w:szCs w:val="21"/>
        </w:rPr>
        <w:t xml:space="preserve">Sluit af met: cultuur en gedrag zijn essentieel, maar ze bestaan niet in een vacuüm — ze worden gevormd en versterkt (of ondermijnd) door hoe de risicofunctie zelf is ingericht. Deel 21 gaat terug naar de structuur: een verdiepte blik op three lines of defence, inclusief de kritiek op dat model.</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2026-08-17T06:37:00.810Z</dcterms:created>
  <dcterms:modified xsi:type="dcterms:W3CDTF">2026-08-17T06:37:00.811Z</dcterms:modified>
</cp:coreProperties>
</file>

<file path=docProps/custom.xml><?xml version="1.0" encoding="utf-8"?>
<Properties xmlns="http://schemas.openxmlformats.org/officeDocument/2006/custom-properties" xmlns:vt="http://schemas.openxmlformats.org/officeDocument/2006/docPropsVTypes"/>
</file>