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20 — Risicocultuur en gedrag</w:t>
      </w:r>
    </w:p>
    <w:p>
      <w:pPr>
        <w:spacing w:before="600"/>
        <w:jc w:val="center"/>
      </w:pPr>
      <w:r>
        <w:rPr>
          <w:rFonts w:ascii="Calibri" w:cs="Calibri" w:eastAsia="Calibri" w:hAnsi="Calibri"/>
          <w:b/>
          <w:bCs/>
          <w:color w:val="1B2A4A"/>
          <w:sz w:val="24"/>
          <w:szCs w:val="24"/>
        </w:rPr>
        <w:t xml:space="preserve">Niveau 2 — Professional</w:t>
      </w:r>
    </w:p>
    <w:p>
      <w:pPr>
        <w:spacing w:before="200"/>
        <w:jc w:val="center"/>
      </w:pPr>
      <w:r>
        <w:rPr>
          <w:rFonts w:ascii="Calibri" w:cs="Calibri" w:eastAsia="Calibri" w:hAnsi="Calibri"/>
          <w:i/>
          <w:iCs/>
          <w:color w:val="D99A3D"/>
          <w:sz w:val="24"/>
          <w:szCs w:val="24"/>
        </w:rPr>
        <w:t xml:space="preserve">Werkboek (los aanbiedbaar)</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20 — Werkboek</w:t>
      </w:r>
    </w:p>
    <w:p>
      <w:pPr>
        <w:spacing w:after="180" w:line="300"/>
        <w:jc w:val="both"/>
      </w:pPr>
      <w:r>
        <w:rPr>
          <w:rFonts w:ascii="Calibri" w:cs="Calibri" w:eastAsia="Calibri" w:hAnsi="Calibri"/>
          <w:i/>
          <w:iCs/>
          <w:color w:val="1A1A1A"/>
          <w:sz w:val="21"/>
          <w:szCs w:val="21"/>
        </w:rPr>
        <w:t xml:space="preserve">Werk de opdrachten uit vóórdat je de uitwerking leest.</w:t>
      </w:r>
    </w:p>
    <w:p>
      <w:pPr>
        <w:pStyle w:val="Heading2"/>
        <w:spacing w:after="160" w:before="360"/>
      </w:pPr>
      <w:r>
        <w:rPr>
          <w:rFonts w:ascii="Calibri" w:cs="Calibri" w:eastAsia="Calibri" w:hAnsi="Calibri"/>
          <w:b/>
          <w:bCs/>
          <w:color w:val="2C5AA0"/>
          <w:sz w:val="26"/>
          <w:szCs w:val="26"/>
        </w:rPr>
        <w:t xml:space="preserve">Opdracht 20.1 — Herken de vertekening</w:t>
      </w:r>
    </w:p>
    <w:p>
      <w:pPr>
        <w:spacing w:after="180" w:line="300"/>
        <w:jc w:val="both"/>
      </w:pPr>
      <w:r>
        <w:rPr>
          <w:rFonts w:ascii="Calibri" w:cs="Calibri" w:eastAsia="Calibri" w:hAnsi="Calibri"/>
          <w:color w:val="1A1A1A"/>
          <w:sz w:val="21"/>
          <w:szCs w:val="21"/>
        </w:rPr>
        <w:t xml:space="preserve">Voor elk van de volgende situaties: welke van de vier vertekeningen uit paragraaf 20.2 speelt hier het meest waarschijnlijk?</w:t>
      </w:r>
    </w:p>
    <w:p>
      <w:pPr>
        <w:spacing w:after="180" w:line="300"/>
        <w:jc w:val="both"/>
      </w:pPr>
      <w:r>
        <w:rPr>
          <w:rFonts w:ascii="Calibri" w:cs="Calibri" w:eastAsia="Calibri" w:hAnsi="Calibri"/>
          <w:color w:val="1A1A1A"/>
          <w:sz w:val="21"/>
          <w:szCs w:val="21"/>
        </w:rPr>
        <w:t xml:space="preserve">a. ‘We hebben deze leverancier al drie jaar, ze zijn prima’ — gezegd nadat er twee keer een klein incident is geweest dat telkens als toeval werd afgedaan.</w:t>
      </w:r>
    </w:p>
    <w:p>
      <w:pPr>
        <w:spacing w:after="180" w:line="300"/>
        <w:jc w:val="both"/>
      </w:pPr>
      <w:r>
        <w:rPr>
          <w:rFonts w:ascii="Calibri" w:cs="Calibri" w:eastAsia="Calibri" w:hAnsi="Calibri"/>
          <w:color w:val="1A1A1A"/>
          <w:sz w:val="21"/>
          <w:szCs w:val="21"/>
        </w:rPr>
        <w:t xml:space="preserve">b. ‘Bij ons project gaat dat niet gebeuren, wij hebben een goed team.’</w:t>
      </w:r>
    </w:p>
    <w:p>
      <w:pPr>
        <w:spacing w:after="180" w:line="300"/>
        <w:jc w:val="both"/>
      </w:pPr>
      <w:r>
        <w:rPr>
          <w:rFonts w:ascii="Calibri" w:cs="Calibri" w:eastAsia="Calibri" w:hAnsi="Calibri"/>
          <w:color w:val="1A1A1A"/>
          <w:sz w:val="21"/>
          <w:szCs w:val="21"/>
        </w:rPr>
        <w:t xml:space="preserve">c. Een teamlid stelt een lagere schatting voor dan aanvankelijk gepland, meteen na het horen van de eerste, optimistische schatting van de projectleider.</w:t>
      </w:r>
    </w:p>
    <w:p>
      <w:pPr>
        <w:spacing w:after="180" w:line="300"/>
        <w:jc w:val="both"/>
      </w:pPr>
      <w:r>
        <w:rPr>
          <w:rFonts w:ascii="Calibri" w:cs="Calibri" w:eastAsia="Calibri" w:hAnsi="Calibri"/>
          <w:color w:val="1A1A1A"/>
          <w:sz w:val="21"/>
          <w:szCs w:val="21"/>
        </w:rPr>
        <w:t xml:space="preserve">d. Een risico dat twee jaar geleden als ‘tijdelijk acceptabel’ werd bestempeld, staat nog steeds op diezelfde manier geregistreerd, zonder dat iemand zich meer afvraagt of dat nog klopt.</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a. Bevestigingsbias, mogelijk gecombineerd met normalcy bias — incidenten worden weggezet als uitzondering in plaats van als signaal dat de overtuiging (‘ze zijn prima’) zou moeten bijstellen.
b. Optimism bias — de klassieke, bijna letterlijke formulering van deze vertekening.
c. Verankering — de eerste genoemde schatting kleurt onmiddellijk de volgende, ook al is de richting hier ‘lager’ in plaats van ‘hoger’.
d. Normalcy bias / normalisering van afwijking — een afwijking die zo lang ongewijzigd blijft dat niemand meer de vraag stelt of het label nog klopt.
Wat je hier moet meenemen: in de praktijk werken deze vertekeningen vaak samen, zoals bij a — het is niet nodig om altijd precies één label te kiezen, het gaat om het herkennen van het patroon.</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Opdracht 20.2 — Signalen van psychologische veiligheid</w:t>
      </w:r>
    </w:p>
    <w:p>
      <w:pPr>
        <w:spacing w:after="180" w:line="300"/>
        <w:jc w:val="both"/>
      </w:pPr>
      <w:r>
        <w:rPr>
          <w:rFonts w:ascii="Calibri" w:cs="Calibri" w:eastAsia="Calibri" w:hAnsi="Calibri"/>
          <w:color w:val="1A1A1A"/>
          <w:sz w:val="21"/>
          <w:szCs w:val="21"/>
        </w:rPr>
        <w:t xml:space="preserve">Beoordeel voor je eigen team of organisatie (of een team dat je goed kent) de drie signalen uit paragraaf 20.3. Voor elk signaal: is dit aanwezig, afwezig, of ergens tussenin? Onderbouw kort.</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Geen vast antwoord — zelfreflectie-opdracht. Ter kalibratie, een voorbeeld van hoe een uitwerking eruit kan zien:
Signaal 1 (risico's pas gemeld als issue): gedeeltelijk aanwezig — bij technische risico's melden we vroeg, bij planningsrisico's wachten mensen vaak tot het al een probleem is.
Signaal 2 (melder wordt eigenaar): sterk aanwezig, en een herkend probleem — wie een risico meldt, krijgt het er vaak ‘gewoon bij’ als taak.
Signaal 3 (weinig opbrengst uit pre-mortems): niet te beoordelen, we doen geen pre-mortems.
Wat je hier moet meenemen: het derde signaal is soms niet te beoordelen omdat de techniek zelf nog niet wordt gebruikt — dat is zelf ook een relevante constatering (niveau 1 of 2 op de volwassenheidsschaal uit paragraaf 20.4, waar risicomanagement nog geen vast instrumentarium heeft).</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Opdracht 20.3 — Plaats jouw team op de volwassenheidsschaal</w:t>
      </w:r>
    </w:p>
    <w:p>
      <w:pPr>
        <w:spacing w:after="180" w:line="300"/>
        <w:jc w:val="both"/>
      </w:pPr>
      <w:r>
        <w:rPr>
          <w:rFonts w:ascii="Calibri" w:cs="Calibri" w:eastAsia="Calibri" w:hAnsi="Calibri"/>
          <w:color w:val="1A1A1A"/>
          <w:sz w:val="21"/>
          <w:szCs w:val="21"/>
        </w:rPr>
        <w:t xml:space="preserve">Gebruik de vijf niveaus uit paragraaf 20.4. Op welk niveau bevindt jouw team of organisatie zich, naar jouw inschatting? Onderbouw met minstens twee concrete waarnemingen (geen aannames).</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Geen vast antwoord — dit is een toepassingsopdracht zonder vooraf bepaalde uitkomst. Let bij de bespreking op twee kwaliteitscriteria:
Is de inschatting onderbouwd met waarneembare feiten (bijvoorbeeld: ‘we hebben een vast registersjabloon, maar drie van de vijf teams gebruiken het niet consequent’ wijst op niveau 2) in plaats van een vage indruk (‘ik denk dat we het best goed doen’)?
Wordt het model gebruikt als diagnose, niet als beschuldiging? Een team op niveau 2 is niet ‘slecht bezig’ — het is een startpunt voor een gesprek over wat de eerstvolgende, haalbare stap zou zijn.</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Opdracht 20.4 — Ontwerp een interventie</w:t>
      </w:r>
    </w:p>
    <w:p>
      <w:pPr>
        <w:spacing w:after="180" w:line="300"/>
        <w:jc w:val="both"/>
      </w:pPr>
      <w:r>
        <w:rPr>
          <w:rFonts w:ascii="Calibri" w:cs="Calibri" w:eastAsia="Calibri" w:hAnsi="Calibri"/>
          <w:color w:val="1A1A1A"/>
          <w:sz w:val="21"/>
          <w:szCs w:val="21"/>
        </w:rPr>
        <w:t xml:space="preserve">Kies één van de vier praktische interventies uit paragraaf 20.5. Beschrijf hoe je die, concreet en op korte termijn (binnen een maand), zou kunnen invoeren in een team naar keuze.</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Geen vast antwoord — toepassingsopdracht. Voorbeeld ter kalibratie, voor de interventie ‘scheid de boodschapper van de boodschap’:
In het eerstvolgende teamoverleg kondig ik aan dat we voortaan, wanneer iemand een risico meldt, dat expliciet benoemen als een bijdrage — bijvoorbeeld door in de notulen apart te vermelden wie een risico heeft geïdentificeerd, los van wie het uiteindelijk oplost. Na een maand bespreek ik met het team of dit voelbaar iets heeft veranderd aan de bereidheid om vroeg te melden.
Beoordelingscriteria: is de interventie concreet genoeg om daadwerkelijk uit te voeren (niet ‘we gaan een cultuur van openheid creëren’ in algemene termen)? Is er een manier voorzien om te toetsen of het iets heeft opgeleverd?</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Zelftoets deel 20</w:t>
      </w:r>
    </w:p>
    <w:p>
      <w:pPr>
        <w:pStyle w:val="ListParagraph"/>
        <w:numPr>
          <w:ilvl w:val="0"/>
          <w:numId w:val="2"/>
        </w:numPr>
        <w:spacing w:after="100" w:line="280"/>
      </w:pPr>
      <w:r>
        <w:rPr>
          <w:rFonts w:ascii="Calibri" w:cs="Calibri" w:eastAsia="Calibri" w:hAnsi="Calibri"/>
          <w:color w:val="1A1A1A"/>
          <w:sz w:val="21"/>
          <w:szCs w:val="21"/>
        </w:rPr>
        <w:t xml:space="preserve">1. Wat is kernzin 14?</w:t>
      </w:r>
    </w:p>
    <w:p>
      <w:pPr>
        <w:pStyle w:val="ListParagraph"/>
        <w:numPr>
          <w:ilvl w:val="0"/>
          <w:numId w:val="2"/>
        </w:numPr>
        <w:spacing w:after="100" w:line="280"/>
      </w:pPr>
      <w:r>
        <w:rPr>
          <w:rFonts w:ascii="Calibri" w:cs="Calibri" w:eastAsia="Calibri" w:hAnsi="Calibri"/>
          <w:color w:val="1A1A1A"/>
          <w:sz w:val="21"/>
          <w:szCs w:val="21"/>
        </w:rPr>
        <w:t xml:space="preserve">2. Noem de vier vertekeningen uit dit deel, elk met een korte omschrijving.</w:t>
      </w:r>
    </w:p>
    <w:p>
      <w:pPr>
        <w:pStyle w:val="ListParagraph"/>
        <w:numPr>
          <w:ilvl w:val="0"/>
          <w:numId w:val="2"/>
        </w:numPr>
        <w:spacing w:after="100" w:line="280"/>
      </w:pPr>
      <w:r>
        <w:rPr>
          <w:rFonts w:ascii="Calibri" w:cs="Calibri" w:eastAsia="Calibri" w:hAnsi="Calibri"/>
          <w:color w:val="1A1A1A"/>
          <w:sz w:val="21"/>
          <w:szCs w:val="21"/>
        </w:rPr>
        <w:t xml:space="preserve">3. Wat is normalisering van afwijking, en welk voorbeeld uit de cursus illustreert dit (voor wie de volledige cursus volgt)?</w:t>
      </w:r>
    </w:p>
    <w:p>
      <w:pPr>
        <w:pStyle w:val="ListParagraph"/>
        <w:numPr>
          <w:ilvl w:val="0"/>
          <w:numId w:val="2"/>
        </w:numPr>
        <w:spacing w:after="100" w:line="280"/>
      </w:pPr>
      <w:r>
        <w:rPr>
          <w:rFonts w:ascii="Calibri" w:cs="Calibri" w:eastAsia="Calibri" w:hAnsi="Calibri"/>
          <w:color w:val="1A1A1A"/>
          <w:sz w:val="21"/>
          <w:szCs w:val="21"/>
        </w:rPr>
        <w:t xml:space="preserve">4. Wat is psychologische veiligheid, en waarom is die relevant voor risicomanagement specifiek?</w:t>
      </w:r>
    </w:p>
    <w:p>
      <w:pPr>
        <w:pStyle w:val="ListParagraph"/>
        <w:numPr>
          <w:ilvl w:val="0"/>
          <w:numId w:val="2"/>
        </w:numPr>
        <w:spacing w:after="100" w:line="280"/>
      </w:pPr>
      <w:r>
        <w:rPr>
          <w:rFonts w:ascii="Calibri" w:cs="Calibri" w:eastAsia="Calibri" w:hAnsi="Calibri"/>
          <w:color w:val="1A1A1A"/>
          <w:sz w:val="21"/>
          <w:szCs w:val="21"/>
        </w:rPr>
        <w:t xml:space="preserve">5. Noem de drie signalen van een gebrek aan psychologische veiligheid in een risicomanagementcontext.</w:t>
      </w:r>
    </w:p>
    <w:p>
      <w:pPr>
        <w:pStyle w:val="ListParagraph"/>
        <w:numPr>
          <w:ilvl w:val="0"/>
          <w:numId w:val="2"/>
        </w:numPr>
        <w:spacing w:after="100" w:line="280"/>
      </w:pPr>
      <w:r>
        <w:rPr>
          <w:rFonts w:ascii="Calibri" w:cs="Calibri" w:eastAsia="Calibri" w:hAnsi="Calibri"/>
          <w:color w:val="1A1A1A"/>
          <w:sz w:val="21"/>
          <w:szCs w:val="21"/>
        </w:rPr>
        <w:t xml:space="preserve">6. Noem de vijf niveaus van risicovolwassenheid.</w:t>
      </w:r>
    </w:p>
    <w:p>
      <w:pPr>
        <w:pStyle w:val="ListParagraph"/>
        <w:numPr>
          <w:ilvl w:val="0"/>
          <w:numId w:val="2"/>
        </w:numPr>
        <w:spacing w:after="100" w:line="280"/>
      </w:pPr>
      <w:r>
        <w:rPr>
          <w:rFonts w:ascii="Calibri" w:cs="Calibri" w:eastAsia="Calibri" w:hAnsi="Calibri"/>
          <w:color w:val="1A1A1A"/>
          <w:sz w:val="21"/>
          <w:szCs w:val="21"/>
        </w:rPr>
        <w:t xml:space="preserve">7. Waarom is een hoger volwassenheidsniveau niet automatisch het juiste doel voor elk team?</w:t>
      </w:r>
    </w:p>
    <w:p>
      <w:pPr>
        <w:pStyle w:val="ListParagraph"/>
        <w:numPr>
          <w:ilvl w:val="0"/>
          <w:numId w:val="2"/>
        </w:numPr>
        <w:spacing w:after="100" w:line="280"/>
      </w:pPr>
      <w:r>
        <w:rPr>
          <w:rFonts w:ascii="Calibri" w:cs="Calibri" w:eastAsia="Calibri" w:hAnsi="Calibri"/>
          <w:color w:val="1A1A1A"/>
          <w:sz w:val="21"/>
          <w:szCs w:val="21"/>
        </w:rPr>
        <w:t xml:space="preserve">8. Noem de vier praktische interventies uit paragraaf 20.5.</w:t>
      </w:r>
    </w:p>
    <w:p>
      <w:pPr>
        <w:pStyle w:val="Heading2"/>
        <w:spacing w:after="160" w:before="360"/>
      </w:pPr>
      <w:r>
        <w:rPr>
          <w:rFonts w:ascii="Calibri" w:cs="Calibri" w:eastAsia="Calibri" w:hAnsi="Calibri"/>
          <w:b/>
          <w:bCs/>
          <w:color w:val="2C5AA0"/>
          <w:sz w:val="26"/>
          <w:szCs w:val="26"/>
        </w:rPr>
        <w:t xml:space="preserve">Antwoorden zelftoets</w:t>
      </w:r>
    </w:p>
    <w:p>
      <w:pPr>
        <w:spacing w:after="180" w:line="300"/>
        <w:jc w:val="both"/>
      </w:pPr>
      <w:r>
        <w:rPr>
          <w:rFonts w:ascii="Calibri" w:cs="Calibri" w:eastAsia="Calibri" w:hAnsi="Calibri"/>
          <w:color w:val="1A1A1A"/>
          <w:sz w:val="21"/>
          <w:szCs w:val="21"/>
        </w:rPr>
        <w:t xml:space="preserve">1. Een organisatie die nooit slecht nieuws hoort, heeft geen goed risicomanagement — ze heeft alleen goed nieuws georganiseerd.</w:t>
      </w:r>
    </w:p>
    <w:p>
      <w:pPr>
        <w:spacing w:after="180" w:line="300"/>
        <w:jc w:val="both"/>
      </w:pPr>
      <w:r>
        <w:rPr>
          <w:rFonts w:ascii="Calibri" w:cs="Calibri" w:eastAsia="Calibri" w:hAnsi="Calibri"/>
          <w:color w:val="1A1A1A"/>
          <w:sz w:val="21"/>
          <w:szCs w:val="21"/>
        </w:rPr>
        <w:t xml:space="preserve">2. Optimism bias (kans op positieve uitkomst voor onszelf overschatten); normalcy bias (aanhoudende afwijkingen als normaal gaan zien); bevestigingsbias (informatie zoeken die een bestaande overtuiging bevestigt); verankering (de eerste genoemde score kleurt de rest van de groep).</w:t>
      </w:r>
    </w:p>
    <w:p>
      <w:pPr>
        <w:spacing w:after="180" w:line="300"/>
        <w:jc w:val="both"/>
      </w:pPr>
      <w:r>
        <w:rPr>
          <w:rFonts w:ascii="Calibri" w:cs="Calibri" w:eastAsia="Calibri" w:hAnsi="Calibri"/>
          <w:color w:val="1A1A1A"/>
          <w:sz w:val="21"/>
          <w:szCs w:val="21"/>
        </w:rPr>
        <w:t xml:space="preserve">3. Het geleidelijk verschuiven van wat als ‘normaal’ wordt beschouwd, elke keer dat een afwijking zonder gevolgen blijft. Voorbeeld: regel 11 van het oude WGP 2.0-register, dat veertien maanden ongewijzigd op score 25 bleef staan zonder dat iemand er nog naar omkeek.</w:t>
      </w:r>
    </w:p>
    <w:p>
      <w:pPr>
        <w:spacing w:after="180" w:line="300"/>
        <w:jc w:val="both"/>
      </w:pPr>
      <w:r>
        <w:rPr>
          <w:rFonts w:ascii="Calibri" w:cs="Calibri" w:eastAsia="Calibri" w:hAnsi="Calibri"/>
          <w:color w:val="1A1A1A"/>
          <w:sz w:val="21"/>
          <w:szCs w:val="21"/>
        </w:rPr>
        <w:t xml:space="preserve">4. De gedeelde overtuiging binnen een team dat het veilig is om risico's, fouten of onzekerheden hardop te benoemen zonder daarvoor te worden afgestraft. Zonder deze veiligheid identificeert een team structureel minder risico's, niet omdat er minder risico's zijn, maar omdat mensen ze niet melden.</w:t>
      </w:r>
    </w:p>
    <w:p>
      <w:pPr>
        <w:spacing w:after="180" w:line="300"/>
        <w:jc w:val="both"/>
      </w:pPr>
      <w:r>
        <w:rPr>
          <w:rFonts w:ascii="Calibri" w:cs="Calibri" w:eastAsia="Calibri" w:hAnsi="Calibri"/>
          <w:color w:val="1A1A1A"/>
          <w:sz w:val="21"/>
          <w:szCs w:val="21"/>
        </w:rPr>
        <w:t xml:space="preserve">5. Risico's worden pas gemeld als ze al issues zijn; de melder wordt gezien als probleemeigenaar; pre-mortem-sessies leveren opvallend weinig op.</w:t>
      </w:r>
    </w:p>
    <w:p>
      <w:pPr>
        <w:spacing w:after="180" w:line="300"/>
        <w:jc w:val="both"/>
      </w:pPr>
      <w:r>
        <w:rPr>
          <w:rFonts w:ascii="Calibri" w:cs="Calibri" w:eastAsia="Calibri" w:hAnsi="Calibri"/>
          <w:color w:val="1A1A1A"/>
          <w:sz w:val="21"/>
          <w:szCs w:val="21"/>
        </w:rPr>
        <w:t xml:space="preserve">6. Ad hoc, herhaalbaar, gedefinieerd, beheerst, optimaliserend.</w:t>
      </w:r>
    </w:p>
    <w:p>
      <w:pPr>
        <w:spacing w:after="180" w:line="300"/>
        <w:jc w:val="both"/>
      </w:pPr>
      <w:r>
        <w:rPr>
          <w:rFonts w:ascii="Calibri" w:cs="Calibri" w:eastAsia="Calibri" w:hAnsi="Calibri"/>
          <w:color w:val="1A1A1A"/>
          <w:sz w:val="21"/>
          <w:szCs w:val="21"/>
        </w:rPr>
        <w:t xml:space="preserve">7. Omdat een hoger niveau meer investering vraagt, die niet voor elke situatie (bijvoorbeeld een klein, kortlopend project) proportioneel is — het model is een diagnose-instrument, geen universeel doel.</w:t>
      </w:r>
    </w:p>
    <w:p>
      <w:pPr>
        <w:spacing w:after="180" w:line="300"/>
        <w:jc w:val="both"/>
      </w:pPr>
      <w:r>
        <w:rPr>
          <w:rFonts w:ascii="Calibri" w:cs="Calibri" w:eastAsia="Calibri" w:hAnsi="Calibri"/>
          <w:color w:val="1A1A1A"/>
          <w:sz w:val="21"/>
          <w:szCs w:val="21"/>
        </w:rPr>
        <w:t xml:space="preserve">8. De boodschapper waarderen los van de uitkomst; pre-mortems een vast, terugkerend instrument maken; risicovolwassenheid periodiek bespreken als gespreksinstrument; het sluiten van risico's net zo vieren als het identificeren ervan.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2026-08-17T06:37:00.659Z</dcterms:created>
  <dcterms:modified xsi:type="dcterms:W3CDTF">2026-08-17T06:37:00.660Z</dcterms:modified>
</cp:coreProperties>
</file>

<file path=docProps/custom.xml><?xml version="1.0" encoding="utf-8"?>
<Properties xmlns="http://schemas.openxmlformats.org/officeDocument/2006/custom-properties" xmlns:vt="http://schemas.openxmlformats.org/officeDocument/2006/docPropsVTypes"/>
</file>