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21 — De risicofunctie inrichten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21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voltooit iets dat sinds deel 9 (niveau 1) is opengehouden: three lines of defence werd daar bewust kort geïntroduceerd, met een expliciete belofte van verdieping in dit deel. Herinner deelnemers die de volledige cursus volgen aan die belofte — het versterkt het gevoel dat de cursus een doorlopend, samenhangend geheel is.</w:t>
      </w:r>
    </w:p>
    <w:p>
      <w:pPr>
        <w:spacing w:after="180" w:line="300"/>
        <w:jc w:val="both"/>
      </w:pPr>
      <w:r>
        <w:rPr>
          <w:rFonts w:ascii="Calibri" w:cs="Calibri" w:eastAsia="Calibri" w:hAnsi="Calibri"/>
          <w:color w:val="1A1A1A"/>
          <w:sz w:val="21"/>
          <w:szCs w:val="21"/>
        </w:rPr>
        <w:t xml:space="preserve">Het belangrijkste leerresultaat van dit deel is niet kennis van de IIA-herziening als historisch feit, maar het vermogen om proportioneel te denken over governance-inrichting — een vaardigheid die in niveau 3 (waar Meridiaan onder zwaarder toezicht komt) verder wordt uitgebouwd.</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per lijn van het three-lines-model beschrijven wat die lijn nodig heeft om goed te functioneren</w:t>
      </w:r>
    </w:p>
    <w:p>
      <w:pPr>
        <w:pStyle w:val="ListParagraph"/>
        <w:numPr>
          <w:ilvl w:val="0"/>
          <w:numId w:val="2"/>
        </w:numPr>
        <w:spacing w:after="100" w:line="280"/>
      </w:pPr>
      <w:r>
        <w:rPr>
          <w:rFonts w:ascii="Calibri" w:cs="Calibri" w:eastAsia="Calibri" w:hAnsi="Calibri"/>
          <w:color w:val="1A1A1A"/>
          <w:sz w:val="21"/>
          <w:szCs w:val="21"/>
        </w:rPr>
        <w:t xml:space="preserve">de belangrijkste wijzigingen van de IIA-herziening van 2020 benoemen en het verschil met het model uit 2013 uitleggen</w:t>
      </w:r>
    </w:p>
    <w:p>
      <w:pPr>
        <w:pStyle w:val="ListParagraph"/>
        <w:numPr>
          <w:ilvl w:val="0"/>
          <w:numId w:val="2"/>
        </w:numPr>
        <w:spacing w:after="100" w:line="280"/>
      </w:pPr>
      <w:r>
        <w:rPr>
          <w:rFonts w:ascii="Calibri" w:cs="Calibri" w:eastAsia="Calibri" w:hAnsi="Calibri"/>
          <w:color w:val="1A1A1A"/>
          <w:sz w:val="21"/>
          <w:szCs w:val="21"/>
        </w:rPr>
        <w:t xml:space="preserve">Kernzin 15 toepassen en uitleggen waarom onafhankelijkheid geen isolatie impliceert</w:t>
      </w:r>
    </w:p>
    <w:p>
      <w:pPr>
        <w:pStyle w:val="ListParagraph"/>
        <w:numPr>
          <w:ilvl w:val="0"/>
          <w:numId w:val="2"/>
        </w:numPr>
        <w:spacing w:after="100" w:line="280"/>
      </w:pPr>
      <w:r>
        <w:rPr>
          <w:rFonts w:ascii="Calibri" w:cs="Calibri" w:eastAsia="Calibri" w:hAnsi="Calibri"/>
          <w:color w:val="1A1A1A"/>
          <w:sz w:val="21"/>
          <w:szCs w:val="21"/>
        </w:rPr>
        <w:t xml:space="preserve">de drie kritiekpunten die ook na de herziening blijven staan, benoemen en toepassen op een gegeven situatie</w:t>
      </w:r>
    </w:p>
    <w:p>
      <w:pPr>
        <w:pStyle w:val="ListParagraph"/>
        <w:numPr>
          <w:ilvl w:val="0"/>
          <w:numId w:val="2"/>
        </w:numPr>
        <w:spacing w:after="100" w:line="280"/>
      </w:pPr>
      <w:r>
        <w:rPr>
          <w:rFonts w:ascii="Calibri" w:cs="Calibri" w:eastAsia="Calibri" w:hAnsi="Calibri"/>
          <w:color w:val="1A1A1A"/>
          <w:sz w:val="21"/>
          <w:szCs w:val="21"/>
        </w:rPr>
        <w:t xml:space="preserve">een proportionele toepassing van het model ontwerpen voor een kleinere organisatie, met behoud van de kernwaarborgen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Compliance's vraag aan Sanne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Three lines verdiept: wat heeft elke lijn nodig</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5–9, opdracht 21.1</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0:40–1:10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IIA-herziening van 2020</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10–14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1:10–1:25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1:25–1:45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Kernzin 15, opdracht 21.2</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15–16</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1:45–2:15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Blijvende kritiek, drie punten</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17–20</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2:30–3:00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Proportionaliteit, opdracht 21.3</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21–22</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3:00–3:20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Sanne's ontwerp voor Meridiaan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23–24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3:20–3:30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22</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25</w:t>
            </w:r>
          </w:p>
        </w:tc>
      </w:tr>
    </w:tbl>
    <w:p>
      <w:pPr>
        <w:spacing w:after="180" w:line="300"/>
        <w:jc w:val="both"/>
      </w:pPr>
      <w:r>
        <w:rPr>
          <w:rFonts w:ascii="Calibri" w:cs="Calibri" w:eastAsia="Calibri" w:hAnsi="Calibri"/>
          <w:color w:val="1A1A1A"/>
          <w:sz w:val="21"/>
          <w:szCs w:val="21"/>
        </w:rPr>
        <w:t xml:space="preserve">Huiswerk voor deel 22: geen nieuwe formele opdracht; vraag deelnemers om al hun materiaal uit niveau 2 (context, register, respons, kwantitatieve analyses, bow-ties, aggregatie, rapportages) te verzamelen — dit vormt de basis voor de capstone in deel 22.</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IIA-herziening presenteren als een radicale, complete oplossing. Zoals opdracht 21.2 laat zien, veranderde de kern van het model niet — alleen taal en nadruk. Wees hier precies over, anders ontstaat de indruk dat ‘het probleem is opgelost’ terwijl paragraaf 21.3 juist laat zien dat dat niet zo is.</w:t>
      </w:r>
    </w:p>
    <w:p>
      <w:pPr>
        <w:pStyle w:val="ListParagraph"/>
        <w:numPr>
          <w:ilvl w:val="0"/>
          <w:numId w:val="2"/>
        </w:numPr>
        <w:spacing w:after="100" w:line="280"/>
      </w:pPr>
      <w:r>
        <w:rPr>
          <w:rFonts w:ascii="Calibri" w:cs="Calibri" w:eastAsia="Calibri" w:hAnsi="Calibri"/>
          <w:color w:val="1A1A1A"/>
          <w:sz w:val="21"/>
          <w:szCs w:val="21"/>
        </w:rPr>
        <w:t xml:space="preserve">Proportionaliteit laten voelen als ‘minder streng’ of ‘minder serieus’. Het tegendeel is waar: proportionaliteit vraagt juist zorgvuldig nadenken over hoe je met minder middelen dezelfde waarborgen overeind houdt. Dit is inhoudelijk veeleisender dan simpelweg het volledige model kopiëren zonder na te denken over de eigen context.</w:t>
      </w:r>
    </w:p>
    <w:p>
      <w:pPr>
        <w:pStyle w:val="ListParagraph"/>
        <w:numPr>
          <w:ilvl w:val="0"/>
          <w:numId w:val="2"/>
        </w:numPr>
        <w:spacing w:after="100" w:line="280"/>
      </w:pPr>
      <w:r>
        <w:rPr>
          <w:rFonts w:ascii="Calibri" w:cs="Calibri" w:eastAsia="Calibri" w:hAnsi="Calibri"/>
          <w:color w:val="1A1A1A"/>
          <w:sz w:val="21"/>
          <w:szCs w:val="21"/>
        </w:rPr>
        <w:t xml:space="preserve">Sanne's ontwerp als het enige juiste antwoord presenteren. Het is één verdedigbare uitwerking, passend bij Meridiaans specifieke situatie. Andere, even verdedigbare ontwerpen zijn mogelijk — moedig deelnemers aan hun eigen ontwerp bij opdracht 21.3 te verdedigen, ook als het van Sanne's aanpak afwijkt.</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een audit- of governance-achtergrond kennen de IIA-herziening mogelijk al en kunnen aanvullende nuance bieden. Gebruik hen om de discussie bij paragraaf 21.3 (blijvende kritiek) te verdiepen met praktijkvoorbeelden.</w:t>
      </w:r>
    </w:p>
    <w:p>
      <w:pPr>
        <w:spacing w:after="180" w:line="300"/>
        <w:jc w:val="both"/>
      </w:pPr>
      <w:r>
        <w:rPr>
          <w:rFonts w:ascii="Calibri" w:cs="Calibri" w:eastAsia="Calibri" w:hAnsi="Calibri"/>
          <w:color w:val="1A1A1A"/>
          <w:sz w:val="21"/>
          <w:szCs w:val="21"/>
        </w:rPr>
        <w:t xml:space="preserve">Deelnemers uit kleinere organisaties herkennen de proportionaliteitsvraag uit opdracht 21.3 onmiddellijk uit eigen ervaring. Vraag hen als eerste om hun eigen aanpak te delen.</w:t>
      </w:r>
    </w:p>
    <w:p>
      <w:pPr>
        <w:spacing w:after="180" w:line="300"/>
        <w:jc w:val="both"/>
      </w:pPr>
      <w:r>
        <w:rPr>
          <w:rFonts w:ascii="Calibri" w:cs="Calibri" w:eastAsia="Calibri" w:hAnsi="Calibri"/>
          <w:color w:val="1A1A1A"/>
          <w:sz w:val="21"/>
          <w:szCs w:val="21"/>
        </w:rPr>
        <w:t xml:space="preserve">Deelnemers uit grote, sterk gestructureerde organisaties kunnen in eerste instantie moeite hebben zich voor te stellen dat drie volledig gescheiden lijnen niet overal haalbaar of wenselijk zijn. Gebruik hun ervaring juist om paragraaf 21.3's eerste kritiekpunt (rigide toepassing leidt tot silo's) te illustreren — vraag of zij voorbeelden kennen van precies dat probleem in hun eigen, grotere organisatie.</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vast, gepland moment waarop de tweede en derde lijn (indien beide bestaan) elkaar informeren, of gebeurt dat alleen ad hoc?</w:t>
      </w:r>
    </w:p>
    <w:p>
      <w:pPr>
        <w:pStyle w:val="ListParagraph"/>
        <w:numPr>
          <w:ilvl w:val="0"/>
          <w:numId w:val="2"/>
        </w:numPr>
        <w:spacing w:after="100" w:line="280"/>
      </w:pPr>
      <w:r>
        <w:rPr>
          <w:rFonts w:ascii="Calibri" w:cs="Calibri" w:eastAsia="Calibri" w:hAnsi="Calibri"/>
          <w:color w:val="1A1A1A"/>
          <w:sz w:val="21"/>
          <w:szCs w:val="21"/>
        </w:rPr>
        <w:t xml:space="preserve">Ken je een voorbeeld van een organisatie die het three-lines-model zo rigide toepaste dat het tot silo's en dubbel werk leidde?</w:t>
      </w:r>
    </w:p>
    <w:p>
      <w:pPr>
        <w:pStyle w:val="ListParagraph"/>
        <w:numPr>
          <w:ilvl w:val="0"/>
          <w:numId w:val="2"/>
        </w:numPr>
        <w:spacing w:after="100" w:line="280"/>
      </w:pPr>
      <w:r>
        <w:rPr>
          <w:rFonts w:ascii="Calibri" w:cs="Calibri" w:eastAsia="Calibri" w:hAnsi="Calibri"/>
          <w:color w:val="1A1A1A"/>
          <w:sz w:val="21"/>
          <w:szCs w:val="21"/>
        </w:rPr>
        <w:t xml:space="preserve">Als jouw organisatie morgen zou moeten kiezen tussen ‘volledig volgens het boekje’ en ‘proportioneel toegesneden op onze schaal’, wat zou dat praktisch betekenen voor hoe risicomanagement is ingericht?</w:t>
      </w:r>
    </w:p>
    <w:p>
      <w:pPr>
        <w:pStyle w:val="Heading2"/>
        <w:spacing w:after="160" w:before="360"/>
      </w:pPr>
      <w:r>
        <w:rPr>
          <w:rFonts w:ascii="Calibri" w:cs="Calibri" w:eastAsia="Calibri" w:hAnsi="Calibri"/>
          <w:b/>
          <w:bCs/>
          <w:color w:val="2C5AA0"/>
          <w:sz w:val="26"/>
          <w:szCs w:val="26"/>
        </w:rPr>
        <w:t xml:space="preserve">Antwoordmodel voor de moeilijkste bespreking (opdracht 21.3, proportionaliteit)</w:t>
      </w:r>
    </w:p>
    <w:p>
      <w:pPr>
        <w:spacing w:after="180" w:line="300"/>
        <w:jc w:val="both"/>
      </w:pPr>
      <w:r>
        <w:rPr>
          <w:rFonts w:ascii="Calibri" w:cs="Calibri" w:eastAsia="Calibri" w:hAnsi="Calibri"/>
          <w:color w:val="1A1A1A"/>
          <w:sz w:val="21"/>
          <w:szCs w:val="21"/>
        </w:rPr>
        <w:t xml:space="preserve">Deelnemers stellen soms voor om bij een kleine organisatie gewoon één van de drie lijnen te laten vervallen — meestal de derde. Weerleg dit expliciet: proportionaliteit betekent de vorm aanpassen (bijvoorbeeld een externe, periodieke auditor in plaats van een permanente interne functie), niet de functie zelf laten vervallen. Vraag door: wat gaat er mis als er helemaal geen onafhankelijke toetsing meer is, ook niet incidenteel? Het antwoord: dan is er niemand meer die controleert of de eerste en tweede lijn samen het risico goed beheersen — precies het probleem dat het three-lines-model in het leven riep. Proportionaliteit is dus altijd ‘hetzelfde doel, kleinere/eenvoudiger vorm’, nooit ‘doel laten vallen omdat de organisatie klein is’.</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De twee-versies-naast-elkaar-figuur (Figuur 21-1) als centraal visueel hulpmiddel voor het hele dagdeel.</w:t>
      </w:r>
    </w:p>
    <w:p>
      <w:pPr>
        <w:pStyle w:val="ListParagraph"/>
        <w:numPr>
          <w:ilvl w:val="0"/>
          <w:numId w:val="2"/>
        </w:numPr>
        <w:spacing w:after="100" w:line="280"/>
      </w:pPr>
      <w:r>
        <w:rPr>
          <w:rFonts w:ascii="Calibri" w:cs="Calibri" w:eastAsia="Calibri" w:hAnsi="Calibri"/>
          <w:color w:val="1A1A1A"/>
          <w:sz w:val="21"/>
          <w:szCs w:val="21"/>
        </w:rPr>
        <w:t xml:space="preserve">Sanne's ontwerp (paragraaf 21.4) als uitgeschreven voorbeeld, te gebruiken als referentiepunt bij de bespreking van opdracht 21.3.</w:t>
      </w:r>
    </w:p>
    <w:p>
      <w:pPr>
        <w:pStyle w:val="Heading2"/>
        <w:spacing w:after="160" w:before="360"/>
      </w:pPr>
      <w:r>
        <w:rPr>
          <w:rFonts w:ascii="Calibri" w:cs="Calibri" w:eastAsia="Calibri" w:hAnsi="Calibri"/>
          <w:b/>
          <w:bCs/>
          <w:color w:val="2C5AA0"/>
          <w:sz w:val="26"/>
          <w:szCs w:val="26"/>
        </w:rPr>
        <w:t xml:space="preserve">Aansluiting op deel 22</w:t>
      </w:r>
    </w:p>
    <w:p>
      <w:pPr>
        <w:spacing w:after="180" w:line="300"/>
        <w:jc w:val="both"/>
      </w:pPr>
      <w:r>
        <w:rPr>
          <w:rFonts w:ascii="Calibri" w:cs="Calibri" w:eastAsia="Calibri" w:hAnsi="Calibri"/>
          <w:color w:val="1A1A1A"/>
          <w:sz w:val="21"/>
          <w:szCs w:val="21"/>
        </w:rPr>
        <w:t xml:space="preserve">Sluit af met: niveau 2 is nu inhoudelijk compleet. Deel 22 is de afsluiting — een examentraining in M_o_R 4 Practitioner- en IRM-format, gevolgd door een capstone waarin het volledige, geaggregeerde risico-instrumentarium van het Mutatieplatform-programma wordt verdedigd, inclusief de governance-inrichting uit dit deel.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2026-08-17T06:40:33.399Z</dcterms:created>
  <dcterms:modified xsi:type="dcterms:W3CDTF">2026-08-17T06:40:33.400Z</dcterms:modified>
</cp:coreProperties>
</file>

<file path=docProps/custom.xml><?xml version="1.0" encoding="utf-8"?>
<Properties xmlns="http://schemas.openxmlformats.org/officeDocument/2006/custom-properties" xmlns:vt="http://schemas.openxmlformats.org/officeDocument/2006/docPropsVTypes"/>
</file>