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21 — De risicofunctie inrichten</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21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21.1 — Wat heeft elke lijn nodig?</w:t>
      </w:r>
    </w:p>
    <w:p>
      <w:pPr>
        <w:spacing w:after="180" w:line="300"/>
        <w:jc w:val="both"/>
      </w:pPr>
      <w:r>
        <w:rPr>
          <w:rFonts w:ascii="Calibri" w:cs="Calibri" w:eastAsia="Calibri" w:hAnsi="Calibri"/>
          <w:color w:val="1A1A1A"/>
          <w:sz w:val="21"/>
          <w:szCs w:val="21"/>
        </w:rPr>
        <w:t xml:space="preserve">Koppel elk van de volgende behoeften aan de juiste lijn (eerste, tweede of derde): capaciteit en instrumenten; mandaat en een onafhankelijke rapportagelijn; onafhankelijkheid zonder isolatie.</w:t>
      </w:r>
    </w:p>
    <w:p>
      <w:pPr>
        <w:spacing w:after="180" w:line="300"/>
        <w:jc w:val="both"/>
      </w:pPr>
      <w:r>
        <w:rPr>
          <w:rFonts w:ascii="Calibri" w:cs="Calibri" w:eastAsia="Calibri" w:hAnsi="Calibri"/>
          <w:color w:val="1A1A1A"/>
          <w:sz w:val="21"/>
          <w:szCs w:val="21"/>
        </w:rPr>
        <w:t xml:space="preserve">Beantwoord vervolgens: welke van de drie behoeften wordt het snelst ondermijnd als de betreffende lijn ‘erbij’ moet werken zonder vrijgemaakte tijd?</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Eerste lijn: capaciteit en instrumenten. Tweede lijn: mandaat en een onafhankelijke rapportagelijn. Derde lijn: onafhankelijkheid zonder isolatie.
De eerste lijn wordt het snelst ondermijnd zonder vrijgemaakte tijd — als risicomanagement een taak ‘erbij’ is, wint de waan van de dag altijd, zoals het oude WGP 2.0-register (deel 1, niveau 1) liet zien. Dit is geen toeval: de eerste lijn draagt het risico dagelijks te midden van al het andere operationele werk, en is daarom het meest kwetsbaar voor verdringing door andere prioriteiten.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21.2 — Oud versus herzien model</w:t>
      </w:r>
    </w:p>
    <w:p>
      <w:pPr>
        <w:spacing w:after="180" w:line="300"/>
        <w:jc w:val="both"/>
      </w:pPr>
      <w:r>
        <w:rPr>
          <w:rFonts w:ascii="Calibri" w:cs="Calibri" w:eastAsia="Calibri" w:hAnsi="Calibri"/>
          <w:color w:val="1A1A1A"/>
          <w:sz w:val="21"/>
          <w:szCs w:val="21"/>
        </w:rPr>
        <w:t xml:space="preserve">Voor elk van de volgende kenmerken: hoort dit bij het oorspronkelijke 2013-model, het herziene 2020-model, of allebei?</w:t>
      </w:r>
    </w:p>
    <w:p>
      <w:pPr>
        <w:spacing w:after="180" w:line="300"/>
        <w:jc w:val="both"/>
      </w:pPr>
      <w:r>
        <w:rPr>
          <w:rFonts w:ascii="Calibri" w:cs="Calibri" w:eastAsia="Calibri" w:hAnsi="Calibri"/>
          <w:color w:val="1A1A1A"/>
          <w:sz w:val="21"/>
          <w:szCs w:val="21"/>
        </w:rPr>
        <w:t xml:space="preserve">a. Drie lijnen die risico beheersen.</w:t>
      </w:r>
    </w:p>
    <w:p>
      <w:pPr>
        <w:spacing w:after="180" w:line="300"/>
        <w:jc w:val="both"/>
      </w:pPr>
      <w:r>
        <w:rPr>
          <w:rFonts w:ascii="Calibri" w:cs="Calibri" w:eastAsia="Calibri" w:hAnsi="Calibri"/>
          <w:color w:val="1A1A1A"/>
          <w:sz w:val="21"/>
          <w:szCs w:val="21"/>
        </w:rPr>
        <w:t xml:space="preserve">b. Het woord ‘defence’/‘verdediging’ in de naam van het model.</w:t>
      </w:r>
    </w:p>
    <w:p>
      <w:pPr>
        <w:spacing w:after="180" w:line="300"/>
        <w:jc w:val="both"/>
      </w:pPr>
      <w:r>
        <w:rPr>
          <w:rFonts w:ascii="Calibri" w:cs="Calibri" w:eastAsia="Calibri" w:hAnsi="Calibri"/>
          <w:color w:val="1A1A1A"/>
          <w:sz w:val="21"/>
          <w:szCs w:val="21"/>
        </w:rPr>
        <w:t xml:space="preserve">c. De Governing Body als apart, expliciet verbonden element.</w:t>
      </w:r>
    </w:p>
    <w:p>
      <w:pPr>
        <w:spacing w:after="180" w:line="300"/>
        <w:jc w:val="both"/>
      </w:pPr>
      <w:r>
        <w:rPr>
          <w:rFonts w:ascii="Calibri" w:cs="Calibri" w:eastAsia="Calibri" w:hAnsi="Calibri"/>
          <w:color w:val="1A1A1A"/>
          <w:sz w:val="21"/>
          <w:szCs w:val="21"/>
        </w:rPr>
        <w:t xml:space="preserve">d. Interne audit als onafhankelijke, toetsende functie.</w:t>
      </w:r>
    </w:p>
    <w:p>
      <w:pPr>
        <w:spacing w:after="180" w:line="300"/>
        <w:jc w:val="both"/>
      </w:pPr>
      <w:r>
        <w:rPr>
          <w:rFonts w:ascii="Calibri" w:cs="Calibri" w:eastAsia="Calibri" w:hAnsi="Calibri"/>
          <w:color w:val="1A1A1A"/>
          <w:sz w:val="21"/>
          <w:szCs w:val="21"/>
        </w:rPr>
        <w:t xml:space="preserve">e. De uitspraak ‘independence does not imply isolation’.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Allebei — het basisprincipe van drie rollen/lijnen bleef behouden.
b. Alleen het 2013-model.
c. Alleen het 2020-model — dit is een van de belangrijkste toevoegingen.
d. Allebei — de kernfunctie van interne audit veranderde niet.
e. Alleen het 2020-model — de kernuitspraak van de herziening.
Wat je hier moet meenemen: de herziening is, zoals de reader al aangaf, geen radicale breuk maar een verschuiving in taal en nadruk — de kern (drie rollen, onafhankelijke toetsing) bleef intact.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21.3 — Proportionaliteit toepassen</w:t>
      </w:r>
    </w:p>
    <w:p>
      <w:pPr>
        <w:spacing w:after="180" w:line="300"/>
        <w:jc w:val="both"/>
      </w:pPr>
      <w:r>
        <w:rPr>
          <w:rFonts w:ascii="Calibri" w:cs="Calibri" w:eastAsia="Calibri" w:hAnsi="Calibri"/>
          <w:color w:val="1A1A1A"/>
          <w:sz w:val="21"/>
          <w:szCs w:val="21"/>
        </w:rPr>
        <w:t xml:space="preserve">Een kleine organisatie (twintig medewerkers, geen aparte risicomanagementfunctie) wil het three-lines-model toepassen, maar heeft simpelweg niet de capaciteit voor drie volledig gescheiden lijnen. Ontwerp, in eigen woorden, een proportionele toepassing die de kernwaarborg (onafhankelijk oordeel, geen belangenverstrengeling) toch overeind houdt.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toepassingsopdracht. Een verdedigbare aanpak: de eerste lijn (operationeel management) blijft ongewijzigd, ieder verantwoordelijk voor de eigen risico's. De tweede lijn kan een deeltijdrol zijn — bijvoorbeeld een controller of kwaliteitsmedewerker die daarnaast risicomanagementtaken op zich neemt, mits deze persoon niet ook zelf operationele beslissingen neemt over de risico's die hij of zij bewaakt (om belangenverstrengeling te voorkomen). De derde lijn kan extern worden ingehuurd — een onafhankelijke accountant of auditor die periodiek, bijvoorbeeld jaarlijks, het geheel doorlicht, in plaats van een permanente interne functie.
Wat je hier moet meenemen: de kern van proportionaliteit is niet ‘minder doen’ maar ‘dezelfde waarborgen op een schaal die past bij de organisatie’ — de vraag is steeds of onafhankelijk oordeel en het voorkomen van belangenverstrengeling gewaarborgd blijven, ook als de organisatorische vorm eenvoudiger is dan bij een grote instelling.</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21</w:t>
      </w:r>
    </w:p>
    <w:p>
      <w:pPr>
        <w:pStyle w:val="ListParagraph"/>
        <w:numPr>
          <w:ilvl w:val="0"/>
          <w:numId w:val="2"/>
        </w:numPr>
        <w:spacing w:after="100" w:line="280"/>
      </w:pPr>
      <w:r>
        <w:rPr>
          <w:rFonts w:ascii="Calibri" w:cs="Calibri" w:eastAsia="Calibri" w:hAnsi="Calibri"/>
          <w:color w:val="1A1A1A"/>
          <w:sz w:val="21"/>
          <w:szCs w:val="21"/>
        </w:rPr>
        <w:t xml:space="preserve">1. Wat heeft elke van de drie lijnen nodig om goed te functioneren?</w:t>
      </w:r>
    </w:p>
    <w:p>
      <w:pPr>
        <w:pStyle w:val="ListParagraph"/>
        <w:numPr>
          <w:ilvl w:val="0"/>
          <w:numId w:val="2"/>
        </w:numPr>
        <w:spacing w:after="100" w:line="280"/>
      </w:pPr>
      <w:r>
        <w:rPr>
          <w:rFonts w:ascii="Calibri" w:cs="Calibri" w:eastAsia="Calibri" w:hAnsi="Calibri"/>
          <w:color w:val="1A1A1A"/>
          <w:sz w:val="21"/>
          <w:szCs w:val="21"/>
        </w:rPr>
        <w:t xml:space="preserve">2. Wanneer en door wie werd het three-lines-model herzien, en wat is de nieuwe naam?</w:t>
      </w:r>
    </w:p>
    <w:p>
      <w:pPr>
        <w:pStyle w:val="ListParagraph"/>
        <w:numPr>
          <w:ilvl w:val="0"/>
          <w:numId w:val="2"/>
        </w:numPr>
        <w:spacing w:after="100" w:line="280"/>
      </w:pPr>
      <w:r>
        <w:rPr>
          <w:rFonts w:ascii="Calibri" w:cs="Calibri" w:eastAsia="Calibri" w:hAnsi="Calibri"/>
          <w:color w:val="1A1A1A"/>
          <w:sz w:val="21"/>
          <w:szCs w:val="21"/>
        </w:rPr>
        <w:t xml:space="preserve">3. Noem de drie belangrijkste wijzigingen van de herziening.</w:t>
      </w:r>
    </w:p>
    <w:p>
      <w:pPr>
        <w:pStyle w:val="ListParagraph"/>
        <w:numPr>
          <w:ilvl w:val="0"/>
          <w:numId w:val="2"/>
        </w:numPr>
        <w:spacing w:after="100" w:line="280"/>
      </w:pPr>
      <w:r>
        <w:rPr>
          <w:rFonts w:ascii="Calibri" w:cs="Calibri" w:eastAsia="Calibri" w:hAnsi="Calibri"/>
          <w:color w:val="1A1A1A"/>
          <w:sz w:val="21"/>
          <w:szCs w:val="21"/>
        </w:rPr>
        <w:t xml:space="preserve">4. Wat is kernzin 15?</w:t>
      </w:r>
    </w:p>
    <w:p>
      <w:pPr>
        <w:pStyle w:val="ListParagraph"/>
        <w:numPr>
          <w:ilvl w:val="0"/>
          <w:numId w:val="2"/>
        </w:numPr>
        <w:spacing w:after="100" w:line="280"/>
      </w:pPr>
      <w:r>
        <w:rPr>
          <w:rFonts w:ascii="Calibri" w:cs="Calibri" w:eastAsia="Calibri" w:hAnsi="Calibri"/>
          <w:color w:val="1A1A1A"/>
          <w:sz w:val="21"/>
          <w:szCs w:val="21"/>
        </w:rPr>
        <w:t xml:space="preserve">5. Noem de drie kritiekpunten die ook na de herziening blijven staan.</w:t>
      </w:r>
    </w:p>
    <w:p>
      <w:pPr>
        <w:pStyle w:val="ListParagraph"/>
        <w:numPr>
          <w:ilvl w:val="0"/>
          <w:numId w:val="2"/>
        </w:numPr>
        <w:spacing w:after="100" w:line="280"/>
      </w:pPr>
      <w:r>
        <w:rPr>
          <w:rFonts w:ascii="Calibri" w:cs="Calibri" w:eastAsia="Calibri" w:hAnsi="Calibri"/>
          <w:color w:val="1A1A1A"/>
          <w:sz w:val="21"/>
          <w:szCs w:val="21"/>
        </w:rPr>
        <w:t xml:space="preserve">6. Waarom is proportionaliteit relevant voor Meridiaan, en hoe verhoudt dit zich tot IORP II-sleutelfuncties?</w:t>
      </w:r>
    </w:p>
    <w:p>
      <w:pPr>
        <w:pStyle w:val="ListParagraph"/>
        <w:numPr>
          <w:ilvl w:val="0"/>
          <w:numId w:val="2"/>
        </w:numPr>
        <w:spacing w:after="100" w:line="280"/>
      </w:pPr>
      <w:r>
        <w:rPr>
          <w:rFonts w:ascii="Calibri" w:cs="Calibri" w:eastAsia="Calibri" w:hAnsi="Calibri"/>
          <w:color w:val="1A1A1A"/>
          <w:sz w:val="21"/>
          <w:szCs w:val="21"/>
        </w:rPr>
        <w:t xml:space="preserve">7. Wat stelt Sanne concreet voor om onafhankelijkheid en samenwerking tussen de tweede en derde lijn te combineren?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Eerste lijn: capaciteit en instrumenten. Tweede lijn: mandaat en een onafhankelijke rapportagelijn. Derde lijn: onafhankelijkheid zonder isolatie.</w:t>
      </w:r>
    </w:p>
    <w:p>
      <w:pPr>
        <w:spacing w:after="180" w:line="300"/>
        <w:jc w:val="both"/>
      </w:pPr>
      <w:r>
        <w:rPr>
          <w:rFonts w:ascii="Calibri" w:cs="Calibri" w:eastAsia="Calibri" w:hAnsi="Calibri"/>
          <w:color w:val="1A1A1A"/>
          <w:sz w:val="21"/>
          <w:szCs w:val="21"/>
        </w:rPr>
        <w:t xml:space="preserve">2. Juli 2020, door de IIA (Institute of Internal Auditors). Nieuwe naam: The Three Lines Model (zonder ‘of Defense/Defence’).</w:t>
      </w:r>
    </w:p>
    <w:p>
      <w:pPr>
        <w:spacing w:after="180" w:line="300"/>
        <w:jc w:val="both"/>
      </w:pPr>
      <w:r>
        <w:rPr>
          <w:rFonts w:ascii="Calibri" w:cs="Calibri" w:eastAsia="Calibri" w:hAnsi="Calibri"/>
          <w:color w:val="1A1A1A"/>
          <w:sz w:val="21"/>
          <w:szCs w:val="21"/>
        </w:rPr>
        <w:t xml:space="preserve">3. Het woord ‘defence’ geschrapt; de Governing Body toegevoegd als apart, expliciet verbonden element; nadruk verschoven van scheiding naar samenwerking rond gedeelde doelstellingen.</w:t>
      </w:r>
    </w:p>
    <w:p>
      <w:pPr>
        <w:spacing w:after="180" w:line="300"/>
        <w:jc w:val="both"/>
      </w:pPr>
      <w:r>
        <w:rPr>
          <w:rFonts w:ascii="Calibri" w:cs="Calibri" w:eastAsia="Calibri" w:hAnsi="Calibri"/>
          <w:color w:val="1A1A1A"/>
          <w:sz w:val="21"/>
          <w:szCs w:val="21"/>
        </w:rPr>
        <w:t xml:space="preserve">4. Onafhankelijkheid is geen isolatie — een risicofunctie die nooit met de eerste lijn samenwerkt, verliest het zicht op waar de risico's daadwerkelijk zitten.</w:t>
      </w:r>
    </w:p>
    <w:p>
      <w:pPr>
        <w:spacing w:after="180" w:line="300"/>
        <w:jc w:val="both"/>
      </w:pPr>
      <w:r>
        <w:rPr>
          <w:rFonts w:ascii="Calibri" w:cs="Calibri" w:eastAsia="Calibri" w:hAnsi="Calibri"/>
          <w:color w:val="1A1A1A"/>
          <w:sz w:val="21"/>
          <w:szCs w:val="21"/>
        </w:rPr>
        <w:t xml:space="preserve">5. Te rigide toepassing leidt alsnog tot silo's; het model zegt niets over benodigde capaciteit; kleinere organisaties kunnen strikte scheiding niet altijd waarmaken.</w:t>
      </w:r>
    </w:p>
    <w:p>
      <w:pPr>
        <w:spacing w:after="180" w:line="300"/>
        <w:jc w:val="both"/>
      </w:pPr>
      <w:r>
        <w:rPr>
          <w:rFonts w:ascii="Calibri" w:cs="Calibri" w:eastAsia="Calibri" w:hAnsi="Calibri"/>
          <w:color w:val="1A1A1A"/>
          <w:sz w:val="21"/>
          <w:szCs w:val="21"/>
        </w:rPr>
        <w:t xml:space="preserve">6. Meridiaan is een middelgrote organisatie, geen grootbank, waarvoor het model oorspronkelijk is ontwikkeld; proportionele inrichting is ook onder IORP II erkend voor kleinere uitvoerders, zolang de kernwaarborg (onafhankelijk oordeel, geen belangenverstrengeling) overeind blijft.</w:t>
      </w:r>
    </w:p>
    <w:p>
      <w:pPr>
        <w:spacing w:after="180" w:line="300"/>
        <w:jc w:val="both"/>
      </w:pPr>
      <w:r>
        <w:rPr>
          <w:rFonts w:ascii="Calibri" w:cs="Calibri" w:eastAsia="Calibri" w:hAnsi="Calibri"/>
          <w:color w:val="1A1A1A"/>
          <w:sz w:val="21"/>
          <w:szCs w:val="21"/>
        </w:rPr>
        <w:t xml:space="preserve">7. Een vast, gepland kwartaaloverleg tussen de tweede lijn (Sanne) en interne audit, waarin bevindingen en geplande focus worden gedeeld — zonder de onafhankelijke rapportagelijn van interne audit naar de auditcommissie aan te tasten.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2026-08-17T06:40:33.256Z</dcterms:created>
  <dcterms:modified xsi:type="dcterms:W3CDTF">2026-08-17T06:40:33.257Z</dcterms:modified>
</cp:coreProperties>
</file>

<file path=docProps/custom.xml><?xml version="1.0" encoding="utf-8"?>
<Properties xmlns="http://schemas.openxmlformats.org/officeDocument/2006/custom-properties" xmlns:vt="http://schemas.openxmlformats.org/officeDocument/2006/docPropsVTypes"/>
</file>