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22 — Examentraining en capstone: de geaggregeerde verdediging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22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de afsluiting van niveau 2, en het is aanzienlijk zwaarder dan de afsluiting van niveau 1 (deel 10): het dossier dat wordt verdedigd bestrijkt elf delen in plaats van negen, met kwantitatieve, geaggregeerde en governance-componenten die in niveau 1 nog niet bestonden. Reken op een intensiever dagdeel, en overweeg bij een grotere groep de verdedigingen over twee sessies te verdelen in plaats van alles in één dagdeel te persen.</w:t>
      </w:r>
    </w:p>
    <w:p>
      <w:pPr>
        <w:spacing w:after="180" w:line="300"/>
        <w:jc w:val="both"/>
      </w:pPr>
      <w:r>
        <w:rPr>
          <w:rFonts w:ascii="Calibri" w:cs="Calibri" w:eastAsia="Calibri" w:hAnsi="Calibri"/>
          <w:color w:val="1A1A1A"/>
          <w:sz w:val="21"/>
          <w:szCs w:val="21"/>
        </w:rPr>
        <w:t xml:space="preserve">Net als in deel 10 is het vijfde rubriekcriterium (vertaling naar gremium) het scherpst onderscheidende criterium — bewaak dat het niet ondersneeuwt door de aandacht die de kwantitatieve componenten (vaak het meest indrukwekkend om te presenteren) kunnen opeisen.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het M_o_R 4 Practitioner-examen en het IRM-assessment qua vorm en aanpak van elkaar onderscheiden, en zich er praktisch op voorbereiden</w:t>
      </w:r>
    </w:p>
    <w:p>
      <w:pPr>
        <w:pStyle w:val="ListParagraph"/>
        <w:numPr>
          <w:ilvl w:val="0"/>
          <w:numId w:val="2"/>
        </w:numPr>
        <w:spacing w:after="100" w:line="280"/>
      </w:pPr>
      <w:r>
        <w:rPr>
          <w:rFonts w:ascii="Calibri" w:cs="Calibri" w:eastAsia="Calibri" w:hAnsi="Calibri"/>
          <w:color w:val="1A1A1A"/>
          <w:sz w:val="21"/>
          <w:szCs w:val="21"/>
        </w:rPr>
        <w:t xml:space="preserve">de kern van elk deel van niveau 2 kort samenvatten</w:t>
      </w:r>
    </w:p>
    <w:p>
      <w:pPr>
        <w:pStyle w:val="ListParagraph"/>
        <w:numPr>
          <w:ilvl w:val="0"/>
          <w:numId w:val="2"/>
        </w:numPr>
        <w:spacing w:after="100" w:line="280"/>
      </w:pPr>
      <w:r>
        <w:rPr>
          <w:rFonts w:ascii="Calibri" w:cs="Calibri" w:eastAsia="Calibri" w:hAnsi="Calibri"/>
          <w:color w:val="1A1A1A"/>
          <w:sz w:val="21"/>
          <w:szCs w:val="21"/>
        </w:rPr>
        <w:t xml:space="preserve">scenariovragen die kwalitatieve, kwantitatieve, geaggregeerde en governance-onderwerpen combineren, correct beantwoorden</w:t>
      </w:r>
    </w:p>
    <w:p>
      <w:pPr>
        <w:pStyle w:val="ListParagraph"/>
        <w:numPr>
          <w:ilvl w:val="0"/>
          <w:numId w:val="2"/>
        </w:numPr>
        <w:spacing w:after="100" w:line="280"/>
      </w:pPr>
      <w:r>
        <w:rPr>
          <w:rFonts w:ascii="Calibri" w:cs="Calibri" w:eastAsia="Calibri" w:hAnsi="Calibri"/>
          <w:color w:val="1A1A1A"/>
          <w:sz w:val="21"/>
          <w:szCs w:val="21"/>
        </w:rPr>
        <w:t xml:space="preserve">een compleet, geaggregeerd risicodossier presenteren en verdedigen voor een kritisch panel met drie verschillende invalshoeken</w:t>
      </w:r>
    </w:p>
    <w:p>
      <w:pPr>
        <w:pStyle w:val="ListParagraph"/>
        <w:numPr>
          <w:ilvl w:val="0"/>
          <w:numId w:val="2"/>
        </w:numPr>
        <w:spacing w:after="100" w:line="280"/>
      </w:pPr>
      <w:r>
        <w:rPr>
          <w:rFonts w:ascii="Calibri" w:cs="Calibri" w:eastAsia="Calibri" w:hAnsi="Calibri"/>
          <w:color w:val="1A1A1A"/>
          <w:sz w:val="21"/>
          <w:szCs w:val="21"/>
        </w:rPr>
        <w:t xml:space="preserve">dezelfde onderliggende risico-informatie feitelijk consistent, maar op maat, presenteren voor twee verschillende gremia</w:t>
      </w:r>
    </w:p>
    <w:p>
      <w:pPr>
        <w:pStyle w:val="Heading2"/>
        <w:spacing w:after="160" w:before="360"/>
      </w:pPr>
      <w:r>
        <w:rPr>
          <w:rFonts w:ascii="Calibri" w:cs="Calibri" w:eastAsia="Calibri" w:hAnsi="Calibri"/>
          <w:b/>
          <w:bCs/>
          <w:color w:val="2C5AA0"/>
          <w:sz w:val="26"/>
          <w:szCs w:val="26"/>
        </w:rPr>
        <w:t xml:space="preserve">Tijdsindeling (één dagdeel, 3 uur 30 — overweeg verlenging of splitsing bij grotere groepen)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Van één project naar een heel programma — de opening</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M_o_R-examenformat, praktische tips</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0:30–0:40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IRM-assessment kort</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8</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0:40–1:00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Niveau-2-overzicht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9</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1:00–1:15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1:15–1:55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Acht scenariovragen, individueel en nabespreking</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Werkboek, plenaire bespreking van de lastigste</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1:55–2:10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Uitleg capstone-opdracht, rollen, rubric</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10–14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2:10–2:30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Voorbereidingstijd, opdracht 22.1 en 22.2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2:30–2:45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2:45–3:25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Verdedigingen (aantal afhankelijk van groepsgrootte, circa 15+15 minuten elk)</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Simulatie</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Afsluiting niveau 2, vooruitblik niveau 3</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15</w:t>
            </w:r>
          </w:p>
        </w:tc>
      </w:tr>
    </w:tbl>
    <w:p>
      <w:pPr>
        <w:spacing w:after="180" w:line="300"/>
        <w:jc w:val="both"/>
      </w:pPr>
      <w:r>
        <w:rPr>
          <w:rFonts w:ascii="Calibri" w:cs="Calibri" w:eastAsia="Calibri" w:hAnsi="Calibri"/>
          <w:color w:val="1A1A1A"/>
          <w:sz w:val="21"/>
          <w:szCs w:val="21"/>
        </w:rPr>
        <w:t xml:space="preserve">Bij grotere groepen: splits over twee sessies, of laat de voorbereidingstijd (2:10–2:30) als huiswerk vóór het dagdeel plaatsvinden, zodat er meer tijd overblijft voor de verdedigingen zelf.</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acht scenariovragen als eindtoets behandelen in plaats van als voorbereiding. Net als in deel 10: dit is diagnose, geen beoordeling. Besteed de nabespreking vooral aan de vragen die de groep het lastigst vond.</w:t>
      </w:r>
    </w:p>
    <w:p>
      <w:pPr>
        <w:pStyle w:val="ListParagraph"/>
        <w:numPr>
          <w:ilvl w:val="0"/>
          <w:numId w:val="2"/>
        </w:numPr>
        <w:spacing w:after="100" w:line="280"/>
      </w:pPr>
      <w:r>
        <w:rPr>
          <w:rFonts w:ascii="Calibri" w:cs="Calibri" w:eastAsia="Calibri" w:hAnsi="Calibri"/>
          <w:color w:val="1A1A1A"/>
          <w:sz w:val="21"/>
          <w:szCs w:val="21"/>
        </w:rPr>
        <w:t xml:space="preserve">De capstone laten ontsporen in alleen de kwantitatieve component. De Monte Carlo-uitkomst of EMV-berekening is vaak het meest ‘indrukwekkende’ onderdeel om te presenteren, en groepjes kunnen geneigd zijn hier disproportioneel veel tijd aan te besteden ten koste van de governance- en vertaalcomponenten. Stuur hier actief op tijdens de voorbereiding.</w:t>
      </w:r>
    </w:p>
    <w:p>
      <w:pPr>
        <w:pStyle w:val="ListParagraph"/>
        <w:numPr>
          <w:ilvl w:val="0"/>
          <w:numId w:val="2"/>
        </w:numPr>
        <w:spacing w:after="100" w:line="280"/>
      </w:pPr>
      <w:r>
        <w:rPr>
          <w:rFonts w:ascii="Calibri" w:cs="Calibri" w:eastAsia="Calibri" w:hAnsi="Calibri"/>
          <w:color w:val="1A1A1A"/>
          <w:sz w:val="21"/>
          <w:szCs w:val="21"/>
        </w:rPr>
        <w:t xml:space="preserve">Panelrollen te welwillend laten spelen bij een intensiever dagdeel. Naarmate de tijd krapper wordt, is de verleiding groot om de bevraging in te korten of milder te maken. Weersta dat — de kwaliteit van de bevraging is waar de echte leeropbrengst zit, meer nog dan bij deel 10, omdat de stof complexer is.</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die de IRM-route volgen: baat het meest bij opdracht 22.1 en 22.2 als voorbereiding op de essay-achtige diepgang die IRM vraagt — moedig hen aan hun antwoorden uitgebreider te formuleren dan puur voor het M_o_R-examen nodig zou zijn.</w:t>
      </w:r>
    </w:p>
    <w:p>
      <w:pPr>
        <w:spacing w:after="180" w:line="300"/>
        <w:jc w:val="both"/>
      </w:pPr>
      <w:r>
        <w:rPr>
          <w:rFonts w:ascii="Calibri" w:cs="Calibri" w:eastAsia="Calibri" w:hAnsi="Calibri"/>
          <w:color w:val="1A1A1A"/>
          <w:sz w:val="21"/>
          <w:szCs w:val="21"/>
        </w:rPr>
        <w:t xml:space="preserve">Deelnemers die sterk zijn in kwantitatieve techniek maar minder in governance: wijs hen expliciet op het vijfde rubriekcriterium en de rol van de kritische non-executive — dit compenseert de neiging om vooral op de kwantitatieve kracht van hun presentatie te vertrouwen.</w:t>
      </w:r>
    </w:p>
    <w:p>
      <w:pPr>
        <w:spacing w:after="180" w:line="300"/>
        <w:jc w:val="both"/>
      </w:pPr>
      <w:r>
        <w:rPr>
          <w:rFonts w:ascii="Calibri" w:cs="Calibri" w:eastAsia="Calibri" w:hAnsi="Calibri"/>
          <w:color w:val="1A1A1A"/>
          <w:sz w:val="21"/>
          <w:szCs w:val="21"/>
        </w:rPr>
        <w:t xml:space="preserve">Deelnemers die de hele cursus (niveau 1 én 2) hebben gevolgd kunnen als extra rolspelers fungeren voor groepen die een vierde perspectief willen toevoegen, bijvoorbeeld door zelf een scherpe vraag te bedenken gebaseerd op een van de kernzinnen uit eerdere delen.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Welk van de elf delen van niveau 2 vond je persoonlijk het meest waardevol voor je eigen praktijk, en waarom?</w:t>
      </w:r>
    </w:p>
    <w:p>
      <w:pPr>
        <w:pStyle w:val="ListParagraph"/>
        <w:numPr>
          <w:ilvl w:val="0"/>
          <w:numId w:val="2"/>
        </w:numPr>
        <w:spacing w:after="100" w:line="280"/>
      </w:pPr>
      <w:r>
        <w:rPr>
          <w:rFonts w:ascii="Calibri" w:cs="Calibri" w:eastAsia="Calibri" w:hAnsi="Calibri"/>
          <w:color w:val="1A1A1A"/>
          <w:sz w:val="21"/>
          <w:szCs w:val="21"/>
        </w:rPr>
        <w:t xml:space="preserve">Als je nu, aan het eind van niveau 2, terugkijkt naar het WGP 2.0-register uit deel 1 (niveau 1) — wat zou je, met alle kennis van dit niveau, als eerste toevoegen als dat register vandaag opnieuw zou worden opgezet, maar dan meteen op programmaschaal?</w:t>
      </w:r>
    </w:p>
    <w:p>
      <w:pPr>
        <w:pStyle w:val="ListParagraph"/>
        <w:numPr>
          <w:ilvl w:val="0"/>
          <w:numId w:val="2"/>
        </w:numPr>
        <w:spacing w:after="100" w:line="280"/>
      </w:pPr>
      <w:r>
        <w:rPr>
          <w:rFonts w:ascii="Calibri" w:cs="Calibri" w:eastAsia="Calibri" w:hAnsi="Calibri"/>
          <w:color w:val="1A1A1A"/>
          <w:sz w:val="21"/>
          <w:szCs w:val="21"/>
        </w:rPr>
        <w:t xml:space="preserve">Welk onderdeel van het capstone-dossier (risicobereidheid, kwantitatief, aggregatie, IT/cyber, rapportage, governance) voelde het minst natuurlijk om te presenteren, en wat zegt dat over waar nog oefening nodig is?</w:t>
      </w:r>
    </w:p>
    <w:p>
      <w:pPr>
        <w:pStyle w:val="Heading2"/>
        <w:spacing w:after="160" w:before="360"/>
      </w:pPr>
      <w:r>
        <w:rPr>
          <w:rFonts w:ascii="Calibri" w:cs="Calibri" w:eastAsia="Calibri" w:hAnsi="Calibri"/>
          <w:b/>
          <w:bCs/>
          <w:color w:val="2C5AA0"/>
          <w:sz w:val="26"/>
          <w:szCs w:val="26"/>
        </w:rPr>
        <w:t xml:space="preserve">Antwoordmodel voor de moeilijkste bespreking (scenariovraag 2, Monte Carlo-interpretatie)</w:t>
      </w:r>
    </w:p>
    <w:p>
      <w:pPr>
        <w:spacing w:after="180" w:line="300"/>
        <w:jc w:val="both"/>
      </w:pPr>
      <w:r>
        <w:rPr>
          <w:rFonts w:ascii="Calibri" w:cs="Calibri" w:eastAsia="Calibri" w:hAnsi="Calibri"/>
          <w:color w:val="1A1A1A"/>
          <w:sz w:val="21"/>
          <w:szCs w:val="21"/>
        </w:rPr>
        <w:t xml:space="preserve">Scenariovraag 2 uit paragraaf 22.4 (55% kans ‘dus waarschijnlijk goed’) wordt vaak eerst te makkelijk afgedaan met ‘dat is fout, want het is bijna 50-50’. Vraag door naar het waaróm: wat zou de Sponsoring Group anders moeten doen als ze dit correct interpreteren, in plaats van ‘waarschijnlijk goed’? Het juiste antwoord gaat verder dan alleen de foute interpretatie corrigeren — het vereist dat de groep concreet benoemt wat een correcte reactie zou zijn: erkennen dat dit een wezenlijk risico is, de contingency-vraag uit deel 15 opnieuw stellen (welk P-niveau past bij onze risicobereidheid), en mogelijk gerichte mitigatie op het project met de grootste bijdrage aan de onzekerheid (het tornado-diagram, deel 15). Dit laat zien dat het echte leerpunt niet ligt in het herkennen van de fout, maar in het kunnen formuleren van het juiste vervolgstap.</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niveau-2-overzicht (paragraaf 22.3) als uitdeelblad.</w:t>
      </w:r>
    </w:p>
    <w:p>
      <w:pPr>
        <w:pStyle w:val="ListParagraph"/>
        <w:numPr>
          <w:ilvl w:val="0"/>
          <w:numId w:val="2"/>
        </w:numPr>
        <w:spacing w:after="100" w:line="280"/>
      </w:pPr>
      <w:r>
        <w:rPr>
          <w:rFonts w:ascii="Calibri" w:cs="Calibri" w:eastAsia="Calibri" w:hAnsi="Calibri"/>
          <w:color w:val="1A1A1A"/>
          <w:sz w:val="21"/>
          <w:szCs w:val="21"/>
        </w:rPr>
        <w:t xml:space="preserve">De acht scenariovragen, bij voorkeur op aparte kaartjes zodat ze willekeurig kunnen worden verdeeld voor de nabespreking.</w:t>
      </w:r>
    </w:p>
    <w:p>
      <w:pPr>
        <w:pStyle w:val="ListParagraph"/>
        <w:numPr>
          <w:ilvl w:val="0"/>
          <w:numId w:val="2"/>
        </w:numPr>
        <w:spacing w:after="100" w:line="280"/>
      </w:pPr>
      <w:r>
        <w:rPr>
          <w:rFonts w:ascii="Calibri" w:cs="Calibri" w:eastAsia="Calibri" w:hAnsi="Calibri"/>
          <w:color w:val="1A1A1A"/>
          <w:sz w:val="21"/>
          <w:szCs w:val="21"/>
        </w:rPr>
        <w:t xml:space="preserve">Panelrolkaarten voor de drie capstone-rollen (Sponsoring Group-voorzitter, interne auditor, kritische non-executive).</w:t>
      </w:r>
    </w:p>
    <w:p>
      <w:pPr>
        <w:pStyle w:val="ListParagraph"/>
        <w:numPr>
          <w:ilvl w:val="0"/>
          <w:numId w:val="2"/>
        </w:numPr>
        <w:spacing w:after="100" w:line="280"/>
      </w:pPr>
      <w:r>
        <w:rPr>
          <w:rFonts w:ascii="Calibri" w:cs="Calibri" w:eastAsia="Calibri" w:hAnsi="Calibri"/>
          <w:color w:val="1A1A1A"/>
          <w:sz w:val="21"/>
          <w:szCs w:val="21"/>
        </w:rPr>
        <w:t xml:space="preserve">De rubric (paragraaf 22.6) als scoreformulier, één per verdediging.</w:t>
      </w:r>
    </w:p>
    <w:p>
      <w:pPr>
        <w:pStyle w:val="Heading2"/>
        <w:spacing w:after="160" w:before="360"/>
      </w:pPr>
      <w:r>
        <w:rPr>
          <w:rFonts w:ascii="Calibri" w:cs="Calibri" w:eastAsia="Calibri" w:hAnsi="Calibri"/>
          <w:b/>
          <w:bCs/>
          <w:color w:val="2C5AA0"/>
          <w:sz w:val="26"/>
          <w:szCs w:val="26"/>
        </w:rPr>
        <w:t xml:space="preserve">Afsluiting van niveau 2</w:t>
      </w:r>
    </w:p>
    <w:p>
      <w:pPr>
        <w:spacing w:after="180" w:line="300"/>
        <w:jc w:val="both"/>
      </w:pPr>
      <w:r>
        <w:rPr>
          <w:rFonts w:ascii="Calibri" w:cs="Calibri" w:eastAsia="Calibri" w:hAnsi="Calibri"/>
          <w:color w:val="1A1A1A"/>
          <w:sz w:val="21"/>
          <w:szCs w:val="21"/>
        </w:rPr>
        <w:t xml:space="preserve">Sluit het dagdeel — en daarmee niveau 2 — af met een korte terugblik: van M_o_R 4 als losse standaard (deel 11) naar een volledig ingerichte, proportionele governance-structuur (deel 21), met kwantitatieve techniek, aggregatie, IT-risico, rapportage en cultuur als dragende pijlers ertussen. Benoem expliciet dat niveau 3 een andere schaal en een ander soort toezicht introduceert: de Stelselovergang, met wettelijk toezicht niet als aanvullend onderwerp maar als permanente achtergrond van elk hoofdstuk.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2026-08-17T06:43:57.719Z</dcterms:created>
  <dcterms:modified xsi:type="dcterms:W3CDTF">2026-08-17T06:43:57.720Z</dcterms:modified>
</cp:coreProperties>
</file>

<file path=docProps/custom.xml><?xml version="1.0" encoding="utf-8"?>
<Properties xmlns="http://schemas.openxmlformats.org/officeDocument/2006/custom-properties" xmlns:vt="http://schemas.openxmlformats.org/officeDocument/2006/docPropsVTypes"/>
</file>