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22 — Examentraining en capstone: de geaggregeerde verdediging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22 — Examentraining en capstone: de geaggregeerde verdediging</w:t>
      </w:r>
    </w:p>
    <w:p>
      <w:pPr>
        <w:pStyle w:val="Heading2"/>
        <w:spacing w:after="160" w:before="360"/>
      </w:pPr>
      <w:r>
        <w:rPr>
          <w:rFonts w:ascii="Calibri" w:cs="Calibri" w:eastAsia="Calibri" w:hAnsi="Calibri"/>
          <w:b/>
          <w:bCs/>
          <w:color w:val="2C5AA0"/>
          <w:sz w:val="26"/>
          <w:szCs w:val="26"/>
        </w:rPr>
        <w:t xml:space="preserve">22.0 Van één project naar een heel programma</w:t>
      </w:r>
    </w:p>
    <w:p>
      <w:pPr>
        <w:spacing w:after="180" w:line="300"/>
        <w:jc w:val="both"/>
      </w:pPr>
      <w:r>
        <w:rPr>
          <w:rFonts w:ascii="Calibri" w:cs="Calibri" w:eastAsia="Calibri" w:hAnsi="Calibri"/>
          <w:color w:val="1A1A1A"/>
          <w:sz w:val="21"/>
          <w:szCs w:val="21"/>
        </w:rPr>
        <w:t xml:space="preserve">Niveau 1 sloot af met een verdediging van het instrumentarium voor één project, WGP 2.0. Niveau 2 sluit af met iets dat een jaar geleden nog onmogelijk leek: een verdediging van het geaggregeerde risicodossier van het volledige Mutatieplatform-programma — vijf projecten, kwantitatief onderbouwd, met IT- en cyberrisico geïntegreerd, gerapporteerd op maat van drie gremia, en ondersteund door een formeel ingerichte risicofunctie.</w:t>
      </w:r>
    </w:p>
    <w:p>
      <w:pPr>
        <w:spacing w:after="180" w:line="300"/>
        <w:jc w:val="both"/>
      </w:pPr>
      <w:r>
        <w:rPr>
          <w:rFonts w:ascii="Calibri" w:cs="Calibri" w:eastAsia="Calibri" w:hAnsi="Calibri"/>
          <w:color w:val="1A1A1A"/>
          <w:sz w:val="21"/>
          <w:szCs w:val="21"/>
        </w:rPr>
        <w:t xml:space="preserve">Dit deel bereidt voor op twee dingen tegelijk: het M_o_R 4 Practitioner-examen (en, voor wie die route volgt, het IRM-assessment), en de capstone waarin dat hele instrumentarium wordt verdedigd.</w:t>
      </w:r>
    </w:p>
    <w:p>
      <w:pPr>
        <w:pStyle w:val="Heading2"/>
        <w:spacing w:after="160" w:before="360"/>
      </w:pPr>
      <w:r>
        <w:rPr>
          <w:rFonts w:ascii="Calibri" w:cs="Calibri" w:eastAsia="Calibri" w:hAnsi="Calibri"/>
          <w:b/>
          <w:bCs/>
          <w:color w:val="2C5AA0"/>
          <w:sz w:val="26"/>
          <w:szCs w:val="26"/>
        </w:rPr>
        <w:t xml:space="preserve">22.1 Het M_o_R 4 Practitioner-examen, in de praktijk</w:t>
      </w:r>
    </w:p>
    <w:p>
      <w:pPr>
        <w:spacing w:after="180" w:line="300"/>
        <w:jc w:val="both"/>
      </w:pPr>
      <w:r>
        <w:rPr>
          <w:rFonts w:ascii="Calibri" w:cs="Calibri" w:eastAsia="Calibri" w:hAnsi="Calibri"/>
          <w:color w:val="1A1A1A"/>
          <w:sz w:val="21"/>
          <w:szCs w:val="21"/>
        </w:rPr>
        <w:t xml:space="preserve">Zoals in deel 1 (niveau 1) vastgesteld: 65 vragen, 135 minuten, 33 van 65 nodig om te slagen (50%), open boek — alleen het officiële handboek is toegestaan, geen aantekeningen of andere bronnen. Drie praktische tips, specifiek voor het open-boek, scenario-gedreven karakter van dit examen:</w:t>
      </w:r>
    </w:p>
    <w:p>
      <w:pPr>
        <w:spacing w:after="180" w:line="300"/>
        <w:jc w:val="both"/>
      </w:pPr>
      <w:r>
        <w:rPr>
          <w:rFonts w:ascii="Calibri" w:cs="Calibri" w:eastAsia="Calibri" w:hAnsi="Calibri"/>
          <w:b/>
          <w:bCs/>
          <w:color w:val="1B2A4A"/>
          <w:sz w:val="21"/>
          <w:szCs w:val="21"/>
        </w:rPr>
        <w:t xml:space="preserve">Ken de structuur van het handboek uit je hoofd, niet de inhoud woordelijk.</w:t>
      </w:r>
      <w:r>
        <w:rPr>
          <w:rFonts w:ascii="Calibri" w:cs="Calibri" w:eastAsia="Calibri" w:hAnsi="Calibri"/>
          <w:color w:val="1A1A1A"/>
          <w:sz w:val="21"/>
          <w:szCs w:val="21"/>
        </w:rPr>
        <w:t xml:space="preserve"> Bij een open-boek-examen wint niet wie het boek uit het hoofd kent, maar wie binnen twintig seconden weet in welk hoofdstuk een antwoord te vinden is. Oefen daarom vooraf met snel navigeren, niet met uit het hoofd leren.</w:t>
      </w:r>
    </w:p>
    <w:p>
      <w:pPr>
        <w:spacing w:after="180" w:line="300"/>
        <w:jc w:val="both"/>
      </w:pPr>
      <w:r>
        <w:rPr>
          <w:rFonts w:ascii="Calibri" w:cs="Calibri" w:eastAsia="Calibri" w:hAnsi="Calibri"/>
          <w:b/>
          <w:bCs/>
          <w:color w:val="1B2A4A"/>
          <w:sz w:val="21"/>
          <w:szCs w:val="21"/>
        </w:rPr>
        <w:t xml:space="preserve">Scenariovragen vragen om toepassing, niet om opzoeken.</w:t>
      </w:r>
      <w:r>
        <w:rPr>
          <w:rFonts w:ascii="Calibri" w:cs="Calibri" w:eastAsia="Calibri" w:hAnsi="Calibri"/>
          <w:color w:val="1A1A1A"/>
          <w:sz w:val="21"/>
          <w:szCs w:val="21"/>
        </w:rPr>
        <w:t xml:space="preserve"> Een vraag als ‘welk M_o_R-proces past bij deze situatie’ heeft geen letterlijk antwoord in het boek — je moet de acht processen (deel 11) kennen en toepassen. Het boek helpt bij definitievragen, niet bij toepassingsvragen.</w:t>
      </w:r>
    </w:p>
    <w:p>
      <w:pPr>
        <w:spacing w:after="180" w:line="300"/>
        <w:jc w:val="both"/>
      </w:pPr>
      <w:r>
        <w:rPr>
          <w:rFonts w:ascii="Calibri" w:cs="Calibri" w:eastAsia="Calibri" w:hAnsi="Calibri"/>
          <w:b/>
          <w:bCs/>
          <w:color w:val="1B2A4A"/>
          <w:sz w:val="21"/>
          <w:szCs w:val="21"/>
        </w:rPr>
        <w:t xml:space="preserve">135 minuten voor 65 vragen is twee minuten per vraag</w:t>
      </w:r>
      <w:r>
        <w:rPr>
          <w:rFonts w:ascii="Calibri" w:cs="Calibri" w:eastAsia="Calibri" w:hAnsi="Calibri"/>
          <w:color w:val="1A1A1A"/>
          <w:sz w:val="21"/>
          <w:szCs w:val="21"/>
        </w:rPr>
        <w:t xml:space="preserve"> — genoeg voor de meeste vragen, krap voor scenario's die een langere casus bevatten. Oefen met tijdsdruk, net als bij het CRMF-examen in niveau 1.</w:t>
      </w:r>
    </w:p>
    <w:p>
      <w:pPr>
        <w:pStyle w:val="Heading2"/>
        <w:spacing w:after="160" w:before="360"/>
      </w:pPr>
      <w:r>
        <w:rPr>
          <w:rFonts w:ascii="Calibri" w:cs="Calibri" w:eastAsia="Calibri" w:hAnsi="Calibri"/>
          <w:b/>
          <w:bCs/>
          <w:color w:val="2C5AA0"/>
          <w:sz w:val="26"/>
          <w:szCs w:val="26"/>
        </w:rPr>
        <w:t xml:space="preserve">22.2 Het IRM-assessment, in de praktijk</w:t>
      </w:r>
    </w:p>
    <w:p>
      <w:pPr>
        <w:spacing w:after="180" w:line="300"/>
        <w:jc w:val="both"/>
      </w:pPr>
      <w:r>
        <w:rPr>
          <w:rFonts w:ascii="Calibri" w:cs="Calibri" w:eastAsia="Calibri" w:hAnsi="Calibri"/>
          <w:color w:val="1A1A1A"/>
          <w:sz w:val="21"/>
          <w:szCs w:val="21"/>
        </w:rPr>
        <w:t xml:space="preserve">Voor wie de IRM-lijn volgt (deel 1, niveau 1: als tweede lijn naast M_o_R): de International Certificate in ERM Level 5 bestaat uit twee modules, elk met een combinatie van meerkeuzevragen en essay-opdrachten, verspreid over 180 tot 200 uur zelfstudie per module. In tegenstelling tot het M_o_R-examen is dit geen eenmalige toets maar een traject — de essay-opdrachten vragen om diepgaande, zelfstandig geschreven analyse, niet om het herkennen van het juiste antwoord uit een lijst. Voor deelnemers die deze route volgen, is de capstone-opdracht in dit deel een directe oefening voor het type diepgaande analyse dat de IRM-essays vereisen.</w:t>
      </w:r>
    </w:p>
    <w:p>
      <w:pPr>
        <w:pStyle w:val="Heading2"/>
        <w:spacing w:after="160" w:before="360"/>
      </w:pPr>
      <w:r>
        <w:rPr>
          <w:rFonts w:ascii="Calibri" w:cs="Calibri" w:eastAsia="Calibri" w:hAnsi="Calibri"/>
          <w:b/>
          <w:bCs/>
          <w:color w:val="2C5AA0"/>
          <w:sz w:val="26"/>
          <w:szCs w:val="26"/>
        </w:rPr>
        <w:t xml:space="preserve">22.3 Niveau 2 in overzicht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402"/>
        <w:gridCol w:w="7947"/>
      </w:tblGrid>
      <w:tr>
        <w:trPr>
          <w:tblHeader/>
        </w:trPr>
        <w:tc>
          <w:tcPr>
            <w:tcW w:type="pct" w:w="1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Deel</w:t>
            </w:r>
          </w:p>
        </w:tc>
        <w:tc>
          <w:tcPr>
            <w:tcW w:type="pct" w:w="8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Kernbegrip</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M_o_R 4 volledig — vier principes, zes perspectieven, acht processen</w:t>
            </w:r>
          </w:p>
        </w:tc>
      </w:tr>
      <w:tr>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12</w:t>
            </w:r>
          </w:p>
        </w:tc>
        <w:tc>
          <w:tcPr>
            <w:tcW w:type="pct" w:w="8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Risicobereidheid, -capaciteit, -tolerantie; programma vs project</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Identificatie op programmaschaal; de naad tussen projecten</w:t>
            </w:r>
          </w:p>
        </w:tc>
      </w:tr>
      <w:tr>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w:t>
            </w:r>
          </w:p>
        </w:tc>
        <w:tc>
          <w:tcPr>
            <w:tcW w:type="pct" w:w="8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Kwantitatief I — EMV, beslisbomen, drie-puntsschattingen</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Kwantitatief II — Monte Carlo, correlatie, contingency</w:t>
            </w:r>
          </w:p>
        </w:tc>
      </w:tr>
      <w:tr>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16</w:t>
            </w:r>
          </w:p>
        </w:tc>
        <w:tc>
          <w:tcPr>
            <w:tcW w:type="pct" w:w="8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Bow-tie; opzet- vs werkingseffectiviteit</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17</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Geaggregeerd risico; eigenaarschap grensoverschrijdend risico</w:t>
            </w:r>
          </w:p>
        </w:tc>
      </w:tr>
      <w:tr>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18</w:t>
            </w:r>
          </w:p>
        </w:tc>
        <w:tc>
          <w:tcPr>
            <w:tcW w:type="pct" w:w="8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IT- en cyberrisico; DORA</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19</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Rapportage en besluitvorming; drie gremia</w:t>
            </w:r>
          </w:p>
        </w:tc>
      </w:tr>
      <w:tr>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20</w:t>
            </w:r>
          </w:p>
        </w:tc>
        <w:tc>
          <w:tcPr>
            <w:tcW w:type="pct" w:w="8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Risicocultuur en gedrag</w:t>
            </w:r>
          </w:p>
        </w:tc>
      </w:tr>
      <w:tr>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w:t>
            </w:r>
          </w:p>
        </w:tc>
        <w:tc>
          <w:tcPr>
            <w:tcW w:type="pct" w:w="8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risicofunctie inrichten; three lines verdiept</w:t>
            </w:r>
          </w:p>
        </w:tc>
      </w:tr>
    </w:tbl>
    <w:p>
      <w:pPr>
        <w:spacing w:after="180" w:line="300"/>
        <w:jc w:val="both"/>
      </w:pPr>
      <w:r>
        <w:rPr>
          <w:rFonts w:ascii="Calibri" w:cs="Calibri" w:eastAsia="Calibri" w:hAnsi="Calibri"/>
          <w:color w:val="1A1A1A"/>
          <w:sz w:val="21"/>
          <w:szCs w:val="21"/>
        </w:rPr>
        <w:t xml:space="preserve">Elf delen, van een enkele standaard (deel 11) tot een volledig ingerichte governance-structuur (deel 21) — de boog van dit niveau is de beweging van instrument naar systeem.</w:t>
      </w:r>
    </w:p>
    <w:p>
      <w:pPr>
        <w:pStyle w:val="Heading2"/>
        <w:spacing w:after="160" w:before="360"/>
      </w:pPr>
      <w:r>
        <w:rPr>
          <w:rFonts w:ascii="Calibri" w:cs="Calibri" w:eastAsia="Calibri" w:hAnsi="Calibri"/>
          <w:b/>
          <w:bCs/>
          <w:color w:val="2C5AA0"/>
          <w:sz w:val="26"/>
          <w:szCs w:val="26"/>
        </w:rPr>
        <w:t xml:space="preserve">22.4 Eigen vragenbank — acht scenariovragen</w:t>
      </w:r>
    </w:p>
    <w:p>
      <w:pPr>
        <w:spacing w:after="180" w:line="300"/>
        <w:jc w:val="both"/>
      </w:pPr>
      <w:r>
        <w:rPr>
          <w:rFonts w:ascii="Calibri" w:cs="Calibri" w:eastAsia="Calibri" w:hAnsi="Calibri"/>
          <w:b/>
          <w:bCs/>
          <w:color w:val="1B2A4A"/>
          <w:sz w:val="21"/>
          <w:szCs w:val="21"/>
        </w:rPr>
        <w:t xml:space="preserve">1.</w:t>
      </w:r>
      <w:r>
        <w:rPr>
          <w:rFonts w:ascii="Calibri" w:cs="Calibri" w:eastAsia="Calibri" w:hAnsi="Calibri"/>
          <w:color w:val="1A1A1A"/>
          <w:sz w:val="21"/>
          <w:szCs w:val="21"/>
        </w:rPr>
        <w:t xml:space="preserve"> Een programma bestaat uit vier projecten. Project A rapporteert een risico met kans 3, impact 4. Project B rapporteert een vergelijkbaar risico met kans 4, impact 3. Beide scores zijn 12. Wat is de meest waarschijnlijke valkuil als een programmamanager deze twee risico's als ‘even zwaar’ behandelt?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matrixvalkuil 1 (ordinale schalen), toegepast op programmaschaal — dezelfde rekenkundige score verhult een verschillend risicoprofiel (vaker een kleinere klap versus zeldzamer een grotere).</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2.</w:t>
      </w:r>
      <w:r>
        <w:rPr>
          <w:rFonts w:ascii="Calibri" w:cs="Calibri" w:eastAsia="Calibri" w:hAnsi="Calibri"/>
          <w:color w:val="1A1A1A"/>
          <w:sz w:val="21"/>
          <w:szCs w:val="21"/>
        </w:rPr>
        <w:t xml:space="preserve"> Een Monte Carlo-simulatie levert een kans van 55% op om een deadline te halen. De Sponsoring Group concludeert: ‘dat is dus waarschijnlijk goed.’ Wat is hier mis, en welk deel behandelt dit?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55% is een bijna-gelijke kans, geen geruststellende uitkomst; deel 15, paragraaf 15.4 en 15.1 in het werkboek.</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3.</w:t>
      </w:r>
      <w:r>
        <w:rPr>
          <w:rFonts w:ascii="Calibri" w:cs="Calibri" w:eastAsia="Calibri" w:hAnsi="Calibri"/>
          <w:color w:val="1A1A1A"/>
          <w:sz w:val="21"/>
          <w:szCs w:val="21"/>
        </w:rPr>
        <w:t xml:space="preserve"> Een respons ‘verminderen’ staat al acht maanden als ‘geïmplementeerd’ in het register, zonder dat iemand ooit de werking heeft getoetst. Welke twee vragen moet je apart stellen, en waarom volstaat één ervan niet?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opzeteffectiviteit en werkingseffectiviteit; deel 16 — een goed ontwerp garandeert geen functionerende praktijk.</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4.</w:t>
      </w:r>
      <w:r>
        <w:rPr>
          <w:rFonts w:ascii="Calibri" w:cs="Calibri" w:eastAsia="Calibri" w:hAnsi="Calibri"/>
          <w:color w:val="1A1A1A"/>
          <w:sz w:val="21"/>
          <w:szCs w:val="21"/>
        </w:rPr>
        <w:t xml:space="preserve"> Drie, schijnbaar onafhankelijke risico's in drie verschillende projecten blijken bij nader onderzoek terug te voeren op hetzelfde onderliggende capaciteitstekort. Wat is de juiste vervolgstap, en welke term hoort hierbij?</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gemeenschappelijke-oorzaakanalyse (deel 17); de drie risico's clusteren en de onderliggende oorzaak apart als risico vastleggen, in plaats van drie losse regels te laten bestaan.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5.</w:t>
      </w:r>
      <w:r>
        <w:rPr>
          <w:rFonts w:ascii="Calibri" w:cs="Calibri" w:eastAsia="Calibri" w:hAnsi="Calibri"/>
          <w:color w:val="1A1A1A"/>
          <w:sz w:val="21"/>
          <w:szCs w:val="21"/>
        </w:rPr>
        <w:t xml:space="preserve"> Een IT-incident treft de beschikbaarheid van een systeem gedurende enkele uren, zonder kwaadwillige actie. Valt dit binnen de reikwijdte van DORA? Motiveer.</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ja — DORA's incidentrapportageplicht geldt voor ICT-gerelateerde incidenten in brede zin, ongeacht of de oorzaak een aanval of een technisch defect is; deel 18.</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6.</w:t>
      </w:r>
      <w:r>
        <w:rPr>
          <w:rFonts w:ascii="Calibri" w:cs="Calibri" w:eastAsia="Calibri" w:hAnsi="Calibri"/>
          <w:color w:val="1A1A1A"/>
          <w:sz w:val="21"/>
          <w:szCs w:val="21"/>
        </w:rPr>
        <w:t xml:space="preserve"> Waarom is het onjuist om dezelfde risicorapportage, ongewijzigd, aan zowel een projectteam als een raad van bestuur te presenteren?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escaleren betekent vertalen naar het perspectief van de ontvanger, niet hetzelfde bericht herhalen; deel 8 (niveau 1) en deel 19.</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7.</w:t>
      </w:r>
      <w:r>
        <w:rPr>
          <w:rFonts w:ascii="Calibri" w:cs="Calibri" w:eastAsia="Calibri" w:hAnsi="Calibri"/>
          <w:color w:val="1A1A1A"/>
          <w:sz w:val="21"/>
          <w:szCs w:val="21"/>
        </w:rPr>
        <w:t xml:space="preserve"> Een risicofunctie werkt volledig los van de eerste lijn, uit angst haar onafhankelijkheid te verliezen. Wat is het te verwachten gevolg, en welke uitspraak van de IIA is hierop van toepassing?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de risicofunctie verliest het zicht op waar de risico's daadwerkelijk zitten; ‘independence does not imply isolation’; deel 21.</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8.</w:t>
      </w:r>
      <w:r>
        <w:rPr>
          <w:rFonts w:ascii="Calibri" w:cs="Calibri" w:eastAsia="Calibri" w:hAnsi="Calibri"/>
          <w:color w:val="1A1A1A"/>
          <w:sz w:val="21"/>
          <w:szCs w:val="21"/>
        </w:rPr>
        <w:t xml:space="preserve"> Twee projectmanagers zijn het oneens over de aanpak van een risico dat beide hun projecten raakt. Wie is, volgens de in deze cursus vastgestelde regel, eigenaar?</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Antwoordrichting: de Programme Manager, als default bij onenigheid of meer dan twee betrokken projecten; deel 17.</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22.5 De capstone: de geaggregeerde verdediging</w:t>
      </w:r>
    </w:p>
    <w:p>
      <w:pPr>
        <w:spacing w:after="180" w:line="300"/>
        <w:jc w:val="both"/>
      </w:pPr>
      <w:r>
        <w:rPr>
          <w:rFonts w:ascii="Calibri" w:cs="Calibri" w:eastAsia="Calibri" w:hAnsi="Calibri"/>
          <w:b/>
          <w:bCs/>
          <w:color w:val="1B2A4A"/>
          <w:sz w:val="21"/>
          <w:szCs w:val="21"/>
        </w:rPr>
        <w:t xml:space="preserve">Opdracht:</w:t>
      </w:r>
      <w:r>
        <w:rPr>
          <w:rFonts w:ascii="Calibri" w:cs="Calibri" w:eastAsia="Calibri" w:hAnsi="Calibri"/>
          <w:color w:val="1A1A1A"/>
          <w:sz w:val="21"/>
          <w:szCs w:val="21"/>
        </w:rPr>
        <w:t xml:space="preserve"> presenteer, als Sanne Bakhuis (of een vergelijkbare rol), het volledige risicodossier van het Mutatieplatform-programma aan een kritisch panel — vijftien minuten presentatie, gevolgd door vijftien minuten bevraging (langer dan in niveau 1, gezien de grotere reikwijdte). Het dossier moet omvatten:</w:t>
      </w:r>
    </w:p>
    <w:p>
      <w:pPr>
        <w:pStyle w:val="ListParagraph"/>
        <w:numPr>
          <w:ilvl w:val="0"/>
          <w:numId w:val="2"/>
        </w:numPr>
        <w:spacing w:after="100" w:line="280"/>
      </w:pPr>
      <w:r>
        <w:rPr>
          <w:rFonts w:ascii="Calibri" w:cs="Calibri" w:eastAsia="Calibri" w:hAnsi="Calibri"/>
          <w:color w:val="1A1A1A"/>
          <w:sz w:val="21"/>
          <w:szCs w:val="21"/>
        </w:rPr>
        <w:t xml:space="preserve">De risicobereidheid-verklaring van het programma en minstens twee voorbeelden van projectspecifieke vertaling (deel 12)</w:t>
      </w:r>
    </w:p>
    <w:p>
      <w:pPr>
        <w:pStyle w:val="ListParagraph"/>
        <w:numPr>
          <w:ilvl w:val="0"/>
          <w:numId w:val="2"/>
        </w:numPr>
        <w:spacing w:after="100" w:line="280"/>
      </w:pPr>
      <w:r>
        <w:rPr>
          <w:rFonts w:ascii="Calibri" w:cs="Calibri" w:eastAsia="Calibri" w:hAnsi="Calibri"/>
          <w:color w:val="1A1A1A"/>
          <w:sz w:val="21"/>
          <w:szCs w:val="21"/>
        </w:rPr>
        <w:t xml:space="preserve">Minstens één kwantitatieve onderbouwing — een EMV-berekening of Monte Carlo-uitkomst — gekoppeld aan een concreet besluit (deel 14-15)</w:t>
      </w:r>
    </w:p>
    <w:p>
      <w:pPr>
        <w:pStyle w:val="ListParagraph"/>
        <w:numPr>
          <w:ilvl w:val="0"/>
          <w:numId w:val="2"/>
        </w:numPr>
        <w:spacing w:after="100" w:line="280"/>
      </w:pPr>
      <w:r>
        <w:rPr>
          <w:rFonts w:ascii="Calibri" w:cs="Calibri" w:eastAsia="Calibri" w:hAnsi="Calibri"/>
          <w:color w:val="1A1A1A"/>
          <w:sz w:val="21"/>
          <w:szCs w:val="21"/>
        </w:rPr>
        <w:t xml:space="preserve">Minstens één cluster uit de gemeenschappelijke-oorzaakanalyse, met het bijbehorende concentratierisico indien van toepassing (deel 17)</w:t>
      </w:r>
    </w:p>
    <w:p>
      <w:pPr>
        <w:pStyle w:val="ListParagraph"/>
        <w:numPr>
          <w:ilvl w:val="0"/>
          <w:numId w:val="2"/>
        </w:numPr>
        <w:spacing w:after="100" w:line="280"/>
      </w:pPr>
      <w:r>
        <w:rPr>
          <w:rFonts w:ascii="Calibri" w:cs="Calibri" w:eastAsia="Calibri" w:hAnsi="Calibri"/>
          <w:color w:val="1A1A1A"/>
          <w:sz w:val="21"/>
          <w:szCs w:val="21"/>
        </w:rPr>
        <w:t xml:space="preserve">Het IT-/cyberrisicodossier, inclusief de DORA-koppeling (deel 18)</w:t>
      </w:r>
    </w:p>
    <w:p>
      <w:pPr>
        <w:pStyle w:val="ListParagraph"/>
        <w:numPr>
          <w:ilvl w:val="0"/>
          <w:numId w:val="2"/>
        </w:numPr>
        <w:spacing w:after="100" w:line="280"/>
      </w:pPr>
      <w:r>
        <w:rPr>
          <w:rFonts w:ascii="Calibri" w:cs="Calibri" w:eastAsia="Calibri" w:hAnsi="Calibri"/>
          <w:color w:val="1A1A1A"/>
          <w:sz w:val="21"/>
          <w:szCs w:val="21"/>
        </w:rPr>
        <w:t xml:space="preserve">Een voorbeeld van rapportage-op-maat voor twee verschillende gremia van hetzelfde onderliggende risico (deel 19)</w:t>
      </w:r>
    </w:p>
    <w:p>
      <w:pPr>
        <w:pStyle w:val="ListParagraph"/>
        <w:numPr>
          <w:ilvl w:val="0"/>
          <w:numId w:val="2"/>
        </w:numPr>
        <w:spacing w:after="100" w:line="280"/>
      </w:pPr>
      <w:r>
        <w:rPr>
          <w:rFonts w:ascii="Calibri" w:cs="Calibri" w:eastAsia="Calibri" w:hAnsi="Calibri"/>
          <w:color w:val="1A1A1A"/>
          <w:sz w:val="21"/>
          <w:szCs w:val="21"/>
        </w:rPr>
        <w:t xml:space="preserve">De governance-inrichting van de risicofunctie zelf, inclusief de proportionaliteitsafweging (deel 21)</w:t>
      </w:r>
    </w:p>
    <w:p>
      <w:pPr>
        <w:spacing w:after="180" w:line="300"/>
        <w:jc w:val="both"/>
      </w:pPr>
      <w:r>
        <w:rPr>
          <w:rFonts w:ascii="Calibri" w:cs="Calibri" w:eastAsia="Calibri" w:hAnsi="Calibri"/>
          <w:b/>
          <w:bCs/>
          <w:color w:val="1B2A4A"/>
          <w:sz w:val="21"/>
          <w:szCs w:val="21"/>
        </w:rPr>
        <w:t xml:space="preserve">Panelrollen:</w:t>
      </w:r>
    </w:p>
    <w:p>
      <w:pPr>
        <w:pStyle w:val="ListParagraph"/>
        <w:numPr>
          <w:ilvl w:val="0"/>
          <w:numId w:val="2"/>
        </w:numPr>
        <w:spacing w:after="100" w:line="280"/>
      </w:pPr>
      <w:r>
        <w:rPr>
          <w:rFonts w:ascii="Calibri" w:cs="Calibri" w:eastAsia="Calibri" w:hAnsi="Calibri"/>
          <w:color w:val="1A1A1A"/>
          <w:sz w:val="21"/>
          <w:szCs w:val="21"/>
        </w:rPr>
        <w:t xml:space="preserve">De Sponsoring Group-voorzitter — bevraagt op besluitvaardigheid: ‘wat vraag je nu concreet van ons, en wat gebeurt er als we nee zeggen?’</w:t>
      </w:r>
    </w:p>
    <w:p>
      <w:pPr>
        <w:pStyle w:val="ListParagraph"/>
        <w:numPr>
          <w:ilvl w:val="0"/>
          <w:numId w:val="2"/>
        </w:numPr>
        <w:spacing w:after="100" w:line="280"/>
      </w:pPr>
      <w:r>
        <w:rPr>
          <w:rFonts w:ascii="Calibri" w:cs="Calibri" w:eastAsia="Calibri" w:hAnsi="Calibri"/>
          <w:color w:val="1A1A1A"/>
          <w:sz w:val="21"/>
          <w:szCs w:val="21"/>
        </w:rPr>
        <w:t xml:space="preserve">De interne auditor — bevraagt op werkingseffectiviteit en onafhankelijkheid: ‘hoe weet ik dat wat hier staat, ook echt gebeurt?’</w:t>
      </w:r>
    </w:p>
    <w:p>
      <w:pPr>
        <w:pStyle w:val="ListParagraph"/>
        <w:numPr>
          <w:ilvl w:val="0"/>
          <w:numId w:val="2"/>
        </w:numPr>
        <w:spacing w:after="100" w:line="280"/>
      </w:pPr>
      <w:r>
        <w:rPr>
          <w:rFonts w:ascii="Calibri" w:cs="Calibri" w:eastAsia="Calibri" w:hAnsi="Calibri"/>
          <w:color w:val="1A1A1A"/>
          <w:sz w:val="21"/>
          <w:szCs w:val="21"/>
        </w:rPr>
        <w:t xml:space="preserve">De kritische non-executive — bevraagt op proportionaliteit en cultuur: ‘is dit instrumentarium in verhouding tot onze omvang, en hoor ik hier ook het slechte nieuws, of alleen het goede?’</w:t>
      </w:r>
    </w:p>
    <w:p>
      <w:pPr>
        <w:pStyle w:val="Heading2"/>
        <w:spacing w:after="160" w:before="360"/>
      </w:pPr>
      <w:r>
        <w:rPr>
          <w:rFonts w:ascii="Calibri" w:cs="Calibri" w:eastAsia="Calibri" w:hAnsi="Calibri"/>
          <w:b/>
          <w:bCs/>
          <w:color w:val="2C5AA0"/>
          <w:sz w:val="26"/>
          <w:szCs w:val="26"/>
        </w:rPr>
        <w:t xml:space="preserve">22.6 Beoordelingsrubric</w:t>
      </w:r>
    </w:p>
    <w:p>
      <w:pPr>
        <w:spacing w:after="180" w:line="300"/>
        <w:jc w:val="both"/>
      </w:pPr>
      <w:r>
        <w:rPr>
          <w:rFonts w:ascii="Calibri" w:cs="Calibri" w:eastAsia="Calibri" w:hAnsi="Calibri"/>
          <w:color w:val="1A1A1A"/>
          <w:sz w:val="21"/>
          <w:szCs w:val="21"/>
        </w:rPr>
        <w:t xml:space="preserve">Vijf criteria, elk 1 (onvoldoende) tot 4 (uitstekend):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6545"/>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Criterium</w:t>
            </w:r>
          </w:p>
        </w:tc>
        <w:tc>
          <w:tcPr>
            <w:tcW w:type="pct" w:w="7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Wat wordt beoordeeld</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Kwalitatief vakmanschap</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Zijn risicozinnen, scores en responsen correct toegepast, inclusief op programmaschaal?</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Kwantitatief vakmanschap</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 de kwantitatieve onderbouwing (EMV/Monte Carlo) correct toegepast én correct geïnterpreteerd (geen schijnprecisie, geen verkeerd gelezen percentages)?</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Patroonherkenning</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Zijn gemeenschappelijke oorzaken en concentratierisico's zichtbaar gemaakt, niet alleen losse risico's opgesomd?</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Governance-verdedigbaarheid</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 de inrichting van de risicofunctie navolgbaar, proportioneel, en in lijn met ‘independence does not imply isolation’?</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Vertaling naar gremium</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Wordt aantoonbaar hetzelfde risico anders — maar feitelijk consistent — gepresenteerd voor twee verschillende panelrollen?</w:t>
            </w:r>
          </w:p>
        </w:tc>
      </w:tr>
    </w:tbl>
    <w:p>
      <w:pPr>
        <w:spacing w:after="180" w:line="300"/>
        <w:jc w:val="both"/>
      </w:pPr>
      <w:r>
        <w:rPr>
          <w:rFonts w:ascii="Calibri" w:cs="Calibri" w:eastAsia="Calibri" w:hAnsi="Calibri"/>
          <w:color w:val="1A1A1A"/>
          <w:sz w:val="21"/>
          <w:szCs w:val="21"/>
        </w:rPr>
        <w:t xml:space="preserve">Het vijfde criterium is, net als in niveau 1, doorslaggevend bij twijfel: het is de directe toepassing van Kernzin 13 (deel 19) op de eigen verdediging — eindigt de presentatie voor elk gremium met een vraag die dát gremium daadwerkelijk kan beantwoorden?</w:t>
      </w:r>
    </w:p>
    <w:p>
      <w:pPr>
        <w:pStyle w:val="Heading2"/>
        <w:spacing w:after="160" w:before="360"/>
      </w:pPr>
      <w:r>
        <w:rPr>
          <w:rFonts w:ascii="Calibri" w:cs="Calibri" w:eastAsia="Calibri" w:hAnsi="Calibri"/>
          <w:b/>
          <w:bCs/>
          <w:color w:val="2C5AA0"/>
          <w:sz w:val="26"/>
          <w:szCs w:val="26"/>
        </w:rPr>
        <w:t xml:space="preserve">Samenvatting van deel 22</w:t>
      </w:r>
    </w:p>
    <w:p>
      <w:pPr>
        <w:pStyle w:val="ListParagraph"/>
        <w:numPr>
          <w:ilvl w:val="0"/>
          <w:numId w:val="2"/>
        </w:numPr>
        <w:spacing w:after="100" w:line="280"/>
      </w:pPr>
      <w:r>
        <w:rPr>
          <w:rFonts w:ascii="Calibri" w:cs="Calibri" w:eastAsia="Calibri" w:hAnsi="Calibri"/>
          <w:color w:val="1A1A1A"/>
          <w:sz w:val="21"/>
          <w:szCs w:val="21"/>
        </w:rPr>
        <w:t xml:space="preserve">M_o_R 4 Practitioner: open boek, 65 vragen, 135 minuten, 50% — oefen met navigeren in het handboek, niet met uit het hoofd leren; scenariovragen vragen toepassing.</w:t>
      </w:r>
    </w:p>
    <w:p>
      <w:pPr>
        <w:pStyle w:val="ListParagraph"/>
        <w:numPr>
          <w:ilvl w:val="0"/>
          <w:numId w:val="2"/>
        </w:numPr>
        <w:spacing w:after="100" w:line="280"/>
      </w:pPr>
      <w:r>
        <w:rPr>
          <w:rFonts w:ascii="Calibri" w:cs="Calibri" w:eastAsia="Calibri" w:hAnsi="Calibri"/>
          <w:color w:val="1A1A1A"/>
          <w:sz w:val="21"/>
          <w:szCs w:val="21"/>
        </w:rPr>
        <w:t xml:space="preserve">IRM-assessment: twee modules, MCQ én essays, een traject van 180-200 uur per module — vraagt diepgaande zelfstandige analyse.</w:t>
      </w:r>
    </w:p>
    <w:p>
      <w:pPr>
        <w:pStyle w:val="ListParagraph"/>
        <w:numPr>
          <w:ilvl w:val="0"/>
          <w:numId w:val="2"/>
        </w:numPr>
        <w:spacing w:after="100" w:line="280"/>
      </w:pPr>
      <w:r>
        <w:rPr>
          <w:rFonts w:ascii="Calibri" w:cs="Calibri" w:eastAsia="Calibri" w:hAnsi="Calibri"/>
          <w:color w:val="1A1A1A"/>
          <w:sz w:val="21"/>
          <w:szCs w:val="21"/>
        </w:rPr>
        <w:t xml:space="preserve">Niveau 2 in elf delen: de beweging van instrument (deel 11) naar systeem (deel 21).</w:t>
      </w:r>
    </w:p>
    <w:p>
      <w:pPr>
        <w:pStyle w:val="ListParagraph"/>
        <w:numPr>
          <w:ilvl w:val="0"/>
          <w:numId w:val="2"/>
        </w:numPr>
        <w:spacing w:after="100" w:line="280"/>
      </w:pPr>
      <w:r>
        <w:rPr>
          <w:rFonts w:ascii="Calibri" w:cs="Calibri" w:eastAsia="Calibri" w:hAnsi="Calibri"/>
          <w:color w:val="1A1A1A"/>
          <w:sz w:val="21"/>
          <w:szCs w:val="21"/>
        </w:rPr>
        <w:t xml:space="preserve">Acht scenariovragen dekken de kern van het niveau: matrixvalkuilen op schaal, Monte Carlo-interpretatie, opzet/werking, gemeenschappelijke oorzaken, DORA-reikwijdte, vertaling naar gremium, onafhankelijkheid zonder isolatie, eigenaarschap.</w:t>
      </w:r>
    </w:p>
    <w:p>
      <w:pPr>
        <w:pStyle w:val="ListParagraph"/>
        <w:numPr>
          <w:ilvl w:val="0"/>
          <w:numId w:val="2"/>
        </w:numPr>
        <w:spacing w:after="100" w:line="280"/>
      </w:pPr>
      <w:r>
        <w:rPr>
          <w:rFonts w:ascii="Calibri" w:cs="Calibri" w:eastAsia="Calibri" w:hAnsi="Calibri"/>
          <w:color w:val="1A1A1A"/>
          <w:sz w:val="21"/>
          <w:szCs w:val="21"/>
        </w:rPr>
        <w:t xml:space="preserve">De capstone verdedigt het complete, geaggregeerde dossier voor drie panelrollen, met vijf criteria — vertaling naar gremium is doorslaggevend bij twijfel.</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Niveau 3 verschuift de casus naar de Stelselovergang: Meridiaan als laatste Wtp-transitiegroep, met wettelijk toezicht als vaste achtergrond in plaats van een aanvullend onderwerp. Deel 23 opent met risicomanagement onder toezicht — Pw 143/143a, Besluit Ftk, IORP II, Solvency II en DORA samengebracht in één kader.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2026-08-17T06:42:11.212Z</dcterms:created>
  <dcterms:modified xsi:type="dcterms:W3CDTF">2026-08-17T06:42:11.213Z</dcterms:modified>
</cp:coreProperties>
</file>

<file path=docProps/custom.xml><?xml version="1.0" encoding="utf-8"?>
<Properties xmlns="http://schemas.openxmlformats.org/officeDocument/2006/custom-properties" xmlns:vt="http://schemas.openxmlformats.org/officeDocument/2006/docPropsVTypes"/>
</file>