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22 — Examentraining en capstone: de geaggregeerde verdediging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22 — Werkboek</w:t>
      </w:r>
    </w:p>
    <w:p>
      <w:pPr>
        <w:pStyle w:val="Heading2"/>
        <w:spacing w:after="160" w:before="360"/>
      </w:pPr>
      <w:r>
        <w:rPr>
          <w:rFonts w:ascii="Calibri" w:cs="Calibri" w:eastAsia="Calibri" w:hAnsi="Calibri"/>
          <w:b/>
          <w:bCs/>
          <w:color w:val="2C5AA0"/>
          <w:sz w:val="26"/>
          <w:szCs w:val="26"/>
        </w:rPr>
        <w:t xml:space="preserve">Zelfcontrole op de acht scenariovragen</w:t>
      </w:r>
    </w:p>
    <w:p>
      <w:pPr>
        <w:spacing w:after="180" w:line="300"/>
        <w:jc w:val="both"/>
      </w:pPr>
      <w:r>
        <w:rPr>
          <w:rFonts w:ascii="Calibri" w:cs="Calibri" w:eastAsia="Calibri" w:hAnsi="Calibri"/>
          <w:color w:val="1A1A1A"/>
          <w:sz w:val="21"/>
          <w:szCs w:val="21"/>
        </w:rPr>
        <w:t xml:space="preserve">Werk elk van de acht scenariovragen uit paragraaf 22.4 eerst zelf volledig uit (in twee tot drie zinnen per vraag), vóórdat je de antwoordrichting in de reader raadpleegt. Gebruik onderstaande checklist om je eigen antwoord te toetsen.</w:t>
      </w:r>
    </w:p>
    <w:p>
      <w:pPr>
        <w:pStyle w:val="ListParagraph"/>
        <w:numPr>
          <w:ilvl w:val="0"/>
          <w:numId w:val="2"/>
        </w:numPr>
        <w:spacing w:after="100" w:line="280"/>
      </w:pPr>
      <w:r>
        <w:rPr>
          <w:rFonts w:ascii="Calibri" w:cs="Calibri" w:eastAsia="Calibri" w:hAnsi="Calibri"/>
          <w:color w:val="1A1A1A"/>
          <w:sz w:val="21"/>
          <w:szCs w:val="21"/>
        </w:rPr>
        <w:t xml:space="preserve">Verwijst mijn antwoord naar een concreet begrip of instrument uit deze cursus (niet alleen een algemene indruk)?</w:t>
      </w:r>
    </w:p>
    <w:p>
      <w:pPr>
        <w:pStyle w:val="ListParagraph"/>
        <w:numPr>
          <w:ilvl w:val="0"/>
          <w:numId w:val="2"/>
        </w:numPr>
        <w:spacing w:after="100" w:line="280"/>
      </w:pPr>
      <w:r>
        <w:rPr>
          <w:rFonts w:ascii="Calibri" w:cs="Calibri" w:eastAsia="Calibri" w:hAnsi="Calibri"/>
          <w:color w:val="1A1A1A"/>
          <w:sz w:val="21"/>
          <w:szCs w:val="21"/>
        </w:rPr>
        <w:t xml:space="preserve">Benoem ik welk deel dit onderwerp behandelt?</w:t>
      </w:r>
    </w:p>
    <w:p>
      <w:pPr>
        <w:pStyle w:val="ListParagraph"/>
        <w:numPr>
          <w:ilvl w:val="0"/>
          <w:numId w:val="2"/>
        </w:numPr>
        <w:spacing w:after="100" w:line="280"/>
      </w:pPr>
      <w:r>
        <w:rPr>
          <w:rFonts w:ascii="Calibri" w:cs="Calibri" w:eastAsia="Calibri" w:hAnsi="Calibri"/>
          <w:color w:val="1A1A1A"/>
          <w:sz w:val="21"/>
          <w:szCs w:val="21"/>
        </w:rPr>
        <w:t xml:space="preserve">Is mijn antwoord toepasbaar op de gegeven situatie, niet alleen een herhaling van de definitie?</w:t>
      </w:r>
    </w:p>
    <w:p>
      <w:pPr>
        <w:pStyle w:val="Heading2"/>
        <w:spacing w:after="160" w:before="360"/>
      </w:pPr>
      <w:r>
        <w:rPr>
          <w:rFonts w:ascii="Calibri" w:cs="Calibri" w:eastAsia="Calibri" w:hAnsi="Calibri"/>
          <w:b/>
          <w:bCs/>
          <w:color w:val="2C5AA0"/>
          <w:sz w:val="26"/>
          <w:szCs w:val="26"/>
        </w:rPr>
        <w:t xml:space="preserve">Voorbereidingschecklist capstone</w:t>
      </w:r>
    </w:p>
    <w:p>
      <w:pPr>
        <w:pStyle w:val="ListParagraph"/>
        <w:numPr>
          <w:ilvl w:val="0"/>
          <w:numId w:val="2"/>
        </w:numPr>
        <w:spacing w:after="100" w:line="280"/>
      </w:pPr>
      <w:r>
        <w:rPr>
          <w:rFonts w:ascii="Calibri" w:cs="Calibri" w:eastAsia="Calibri" w:hAnsi="Calibri"/>
          <w:color w:val="1A1A1A"/>
          <w:sz w:val="21"/>
          <w:szCs w:val="21"/>
        </w:rPr>
        <w:t xml:space="preserve">Risicobereidheid-verklaring van het programma paraat, met minstens twee projectspecifieke vertalingen (deel 12)</w:t>
      </w:r>
    </w:p>
    <w:p>
      <w:pPr>
        <w:pStyle w:val="ListParagraph"/>
        <w:numPr>
          <w:ilvl w:val="0"/>
          <w:numId w:val="2"/>
        </w:numPr>
        <w:spacing w:after="100" w:line="280"/>
      </w:pPr>
      <w:r>
        <w:rPr>
          <w:rFonts w:ascii="Calibri" w:cs="Calibri" w:eastAsia="Calibri" w:hAnsi="Calibri"/>
          <w:color w:val="1A1A1A"/>
          <w:sz w:val="21"/>
          <w:szCs w:val="21"/>
        </w:rPr>
        <w:t xml:space="preserve">Eén kwantitatieve onderbouwing (EMV of Monte Carlo) gekoppeld aan een concreet besluit, inclusief de onderliggende aannames expliciet benoemd (deel 14-15)</w:t>
      </w:r>
    </w:p>
    <w:p>
      <w:pPr>
        <w:pStyle w:val="ListParagraph"/>
        <w:numPr>
          <w:ilvl w:val="0"/>
          <w:numId w:val="2"/>
        </w:numPr>
        <w:spacing w:after="100" w:line="280"/>
      </w:pPr>
      <w:r>
        <w:rPr>
          <w:rFonts w:ascii="Calibri" w:cs="Calibri" w:eastAsia="Calibri" w:hAnsi="Calibri"/>
          <w:color w:val="1A1A1A"/>
          <w:sz w:val="21"/>
          <w:szCs w:val="21"/>
        </w:rPr>
        <w:t xml:space="preserve">Eén cluster uit de gemeenschappelijke-oorzaakanalyse, met eventueel concentratierisico (deel 17)</w:t>
      </w:r>
    </w:p>
    <w:p>
      <w:pPr>
        <w:pStyle w:val="ListParagraph"/>
        <w:numPr>
          <w:ilvl w:val="0"/>
          <w:numId w:val="2"/>
        </w:numPr>
        <w:spacing w:after="100" w:line="280"/>
      </w:pPr>
      <w:r>
        <w:rPr>
          <w:rFonts w:ascii="Calibri" w:cs="Calibri" w:eastAsia="Calibri" w:hAnsi="Calibri"/>
          <w:color w:val="1A1A1A"/>
          <w:sz w:val="21"/>
          <w:szCs w:val="21"/>
        </w:rPr>
        <w:t xml:space="preserve">Het IT-/cyberrisicodossier met DORA-koppeling (deel 18)</w:t>
      </w:r>
    </w:p>
    <w:p>
      <w:pPr>
        <w:pStyle w:val="ListParagraph"/>
        <w:numPr>
          <w:ilvl w:val="0"/>
          <w:numId w:val="2"/>
        </w:numPr>
        <w:spacing w:after="100" w:line="280"/>
      </w:pPr>
      <w:r>
        <w:rPr>
          <w:rFonts w:ascii="Calibri" w:cs="Calibri" w:eastAsia="Calibri" w:hAnsi="Calibri"/>
          <w:color w:val="1A1A1A"/>
          <w:sz w:val="21"/>
          <w:szCs w:val="21"/>
        </w:rPr>
        <w:t xml:space="preserve">Twee versies van dezelfde rapportage, voor twee verschillende gremia, met de feiten identiek en de nadruk verschillend (deel 19)</w:t>
      </w:r>
    </w:p>
    <w:p>
      <w:pPr>
        <w:pStyle w:val="ListParagraph"/>
        <w:numPr>
          <w:ilvl w:val="0"/>
          <w:numId w:val="2"/>
        </w:numPr>
        <w:spacing w:after="100" w:line="280"/>
      </w:pPr>
      <w:r>
        <w:rPr>
          <w:rFonts w:ascii="Calibri" w:cs="Calibri" w:eastAsia="Calibri" w:hAnsi="Calibri"/>
          <w:color w:val="1A1A1A"/>
          <w:sz w:val="21"/>
          <w:szCs w:val="21"/>
        </w:rPr>
        <w:t xml:space="preserve">De governance-inrichting van de risicofunctie, met een expliciete proportionaliteitsafweging (deel 21)</w:t>
      </w:r>
    </w:p>
    <w:p>
      <w:pPr>
        <w:pStyle w:val="ListParagraph"/>
        <w:numPr>
          <w:ilvl w:val="0"/>
          <w:numId w:val="2"/>
        </w:numPr>
        <w:spacing w:after="100" w:line="280"/>
      </w:pPr>
      <w:r>
        <w:rPr>
          <w:rFonts w:ascii="Calibri" w:cs="Calibri" w:eastAsia="Calibri" w:hAnsi="Calibri"/>
          <w:color w:val="1A1A1A"/>
          <w:sz w:val="21"/>
          <w:szCs w:val="21"/>
        </w:rPr>
        <w:t xml:space="preserve">Voor elk van de drie panelrollen: een voorbereid antwoord op hun meest waarschijnlijke kritische vraag</w:t>
      </w:r>
    </w:p>
    <w:p>
      <w:pPr>
        <w:pStyle w:val="Heading2"/>
        <w:spacing w:after="160" w:before="360"/>
      </w:pPr>
      <w:r>
        <w:rPr>
          <w:rFonts w:ascii="Calibri" w:cs="Calibri" w:eastAsia="Calibri" w:hAnsi="Calibri"/>
          <w:b/>
          <w:bCs/>
          <w:color w:val="2C5AA0"/>
          <w:sz w:val="26"/>
          <w:szCs w:val="26"/>
        </w:rPr>
        <w:t xml:space="preserve">Opdracht 22.1 — Oefen de vertaalslag</w:t>
      </w:r>
    </w:p>
    <w:p>
      <w:pPr>
        <w:spacing w:after="180" w:line="300"/>
        <w:jc w:val="both"/>
      </w:pPr>
      <w:r>
        <w:rPr>
          <w:rFonts w:ascii="Calibri" w:cs="Calibri" w:eastAsia="Calibri" w:hAnsi="Calibri"/>
          <w:color w:val="1A1A1A"/>
          <w:sz w:val="21"/>
          <w:szCs w:val="21"/>
        </w:rPr>
        <w:t xml:space="preserve">Kies één risico uit je eigen (of het Mutatieplatform-)dossier. Schrijf twee korte versies van dezelfde rapportage: één voor de Sponsoring Group-voorzitter, één voor de kritische non-executive. Controleer: zijn de onderliggende feiten (score, status) identiek in beide versies?</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directe capstone-voorbereiding. Gebruik de vier-vragen-structuur uit deel 19 (wat is veranderd, wat is geëscaleerd, welke acceptatiebesluiten, welk besluit wordt nu gevraagd) voor beide versies, met een ander detailniveau en een andere framing van de hoofdvraag — niet met andere onderliggende getallen.
Zelftoets: leg beide versies naast elkaar en markeer elk feitelijk gegeven (score, datum, bedrag). Komen ze exact overeen? Zo niet, is dat een verdraaiing, geen legitieme vertaling (Kernzin 13, deel 19).</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22.2 — Anticipeer op de panelvragen</w:t>
      </w:r>
    </w:p>
    <w:p>
      <w:pPr>
        <w:spacing w:after="180" w:line="300"/>
        <w:jc w:val="both"/>
      </w:pPr>
      <w:r>
        <w:rPr>
          <w:rFonts w:ascii="Calibri" w:cs="Calibri" w:eastAsia="Calibri" w:hAnsi="Calibri"/>
          <w:color w:val="1A1A1A"/>
          <w:sz w:val="21"/>
          <w:szCs w:val="21"/>
        </w:rPr>
        <w:t xml:space="preserve">Voor elk van de drie panelrollen uit paragraaf 22.5: formuleer, voordat je de daadwerkelijke bevraging ingaat, je beste antwoord op de meest waarschijnlijke kritische vraag van die rol.</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persoonlijke voorbereiding. Ter kalibratie, drie voorbeeldantwoorden:
Sponsoring Group-voorzitter (‘wat vraag je nu concreet, en wat als we nee zeggen?’): ‘Ik vraag akkoord voor een contingency van twee weken op basis van de P80-uitkomst van onze simulatie. Als u nee zegt, blijven we op de huidige planning met een gekwantificeerd risico van 45% op het missen van de deadline — een risico dat ik dan als geaccepteerd vastleg, met uw naam en datum, conform ons acceptatieprincipe.’
Interne auditor (‘hoe weet ik dat dit ook echt gebeurt?’): ‘Voor de kritieke maatregelen hebben we werkingseffectiviteit getoetst via steekproef, niet alleen opzet beoordeeld — ik kan u de laatste steekproefresultaten laten zien, inclusief de keer dat we een niet-functionerende controle hebben gevonden en hersteld.’
Kritische non-executive (‘is dit in verhouding, en hoor ik ook het slechte nieuws?’): ‘We hebben de governance-inrichting expliciet proportioneel gehouden voor onze omvang — geen drie volledig gescheiden afdelingen, maar een kwartaaloverleg tussen risicomanagement en audit. Wat betreft slecht nieuws: kijk naar dit dossier zelf — het bevat een risico waarvan de kans op falen 45% is, niet weggepoetst tot een geruststellend getal.’</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22</w:t>
      </w:r>
    </w:p>
    <w:p>
      <w:pPr>
        <w:pStyle w:val="ListParagraph"/>
        <w:numPr>
          <w:ilvl w:val="0"/>
          <w:numId w:val="2"/>
        </w:numPr>
        <w:spacing w:after="100" w:line="280"/>
      </w:pPr>
      <w:r>
        <w:rPr>
          <w:rFonts w:ascii="Calibri" w:cs="Calibri" w:eastAsia="Calibri" w:hAnsi="Calibri"/>
          <w:color w:val="1A1A1A"/>
          <w:sz w:val="21"/>
          <w:szCs w:val="21"/>
        </w:rPr>
        <w:t xml:space="preserve">1. Wat is het examenformat van M_o_R 4 Practitioner?</w:t>
      </w:r>
    </w:p>
    <w:p>
      <w:pPr>
        <w:pStyle w:val="ListParagraph"/>
        <w:numPr>
          <w:ilvl w:val="0"/>
          <w:numId w:val="2"/>
        </w:numPr>
        <w:spacing w:after="100" w:line="280"/>
      </w:pPr>
      <w:r>
        <w:rPr>
          <w:rFonts w:ascii="Calibri" w:cs="Calibri" w:eastAsia="Calibri" w:hAnsi="Calibri"/>
          <w:color w:val="1A1A1A"/>
          <w:sz w:val="21"/>
          <w:szCs w:val="21"/>
        </w:rPr>
        <w:t xml:space="preserve">2. Wat is het belangrijkste verschil tussen het M_o_R-examen en het IRM-assessment qua vorm?</w:t>
      </w:r>
    </w:p>
    <w:p>
      <w:pPr>
        <w:pStyle w:val="ListParagraph"/>
        <w:numPr>
          <w:ilvl w:val="0"/>
          <w:numId w:val="2"/>
        </w:numPr>
        <w:spacing w:after="100" w:line="280"/>
      </w:pPr>
      <w:r>
        <w:rPr>
          <w:rFonts w:ascii="Calibri" w:cs="Calibri" w:eastAsia="Calibri" w:hAnsi="Calibri"/>
          <w:color w:val="1A1A1A"/>
          <w:sz w:val="21"/>
          <w:szCs w:val="21"/>
        </w:rPr>
        <w:t xml:space="preserve">3. Noem drie van de acht scenariovragen-onderwerpen uit dit deel.</w:t>
      </w:r>
    </w:p>
    <w:p>
      <w:pPr>
        <w:pStyle w:val="ListParagraph"/>
        <w:numPr>
          <w:ilvl w:val="0"/>
          <w:numId w:val="2"/>
        </w:numPr>
        <w:spacing w:after="100" w:line="280"/>
      </w:pPr>
      <w:r>
        <w:rPr>
          <w:rFonts w:ascii="Calibri" w:cs="Calibri" w:eastAsia="Calibri" w:hAnsi="Calibri"/>
          <w:color w:val="1A1A1A"/>
          <w:sz w:val="21"/>
          <w:szCs w:val="21"/>
        </w:rPr>
        <w:t xml:space="preserve">4. Wat moet het capstone-dossier minimaal bevatten? Noem vier van de zes onderdelen.</w:t>
      </w:r>
    </w:p>
    <w:p>
      <w:pPr>
        <w:pStyle w:val="ListParagraph"/>
        <w:numPr>
          <w:ilvl w:val="0"/>
          <w:numId w:val="2"/>
        </w:numPr>
        <w:spacing w:after="100" w:line="280"/>
      </w:pPr>
      <w:r>
        <w:rPr>
          <w:rFonts w:ascii="Calibri" w:cs="Calibri" w:eastAsia="Calibri" w:hAnsi="Calibri"/>
          <w:color w:val="1A1A1A"/>
          <w:sz w:val="21"/>
          <w:szCs w:val="21"/>
        </w:rPr>
        <w:t xml:space="preserve">5. Noem de vijf rubriekcriteria voor de capstone.</w:t>
      </w:r>
    </w:p>
    <w:p>
      <w:pPr>
        <w:pStyle w:val="ListParagraph"/>
        <w:numPr>
          <w:ilvl w:val="0"/>
          <w:numId w:val="2"/>
        </w:numPr>
        <w:spacing w:after="100" w:line="280"/>
      </w:pPr>
      <w:r>
        <w:rPr>
          <w:rFonts w:ascii="Calibri" w:cs="Calibri" w:eastAsia="Calibri" w:hAnsi="Calibri"/>
          <w:color w:val="1A1A1A"/>
          <w:sz w:val="21"/>
          <w:szCs w:val="21"/>
        </w:rPr>
        <w:t xml:space="preserve">6. Welk criterium is doorslaggevend bij twijfel, en waarom?</w:t>
      </w:r>
    </w:p>
    <w:p>
      <w:pPr>
        <w:pStyle w:val="ListParagraph"/>
        <w:numPr>
          <w:ilvl w:val="0"/>
          <w:numId w:val="2"/>
        </w:numPr>
        <w:spacing w:after="100" w:line="280"/>
      </w:pPr>
      <w:r>
        <w:rPr>
          <w:rFonts w:ascii="Calibri" w:cs="Calibri" w:eastAsia="Calibri" w:hAnsi="Calibri"/>
          <w:color w:val="1A1A1A"/>
          <w:sz w:val="21"/>
          <w:szCs w:val="21"/>
        </w:rPr>
        <w:t xml:space="preserve">7. Wat is de kern van de vraag die de kritische non-executive stelt, en met welk eerder deel hangt die samen?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65 vragen, 135 minuten, 33/65 (50%) om te slagen, open boek (alleen het officiële handboek).</w:t>
      </w:r>
    </w:p>
    <w:p>
      <w:pPr>
        <w:spacing w:after="180" w:line="300"/>
        <w:jc w:val="both"/>
      </w:pPr>
      <w:r>
        <w:rPr>
          <w:rFonts w:ascii="Calibri" w:cs="Calibri" w:eastAsia="Calibri" w:hAnsi="Calibri"/>
          <w:color w:val="1A1A1A"/>
          <w:sz w:val="21"/>
          <w:szCs w:val="21"/>
        </w:rPr>
        <w:t xml:space="preserve">2. M_o_R is een eenmalige toets (meerkeuze, open boek); IRM is een traject van twee modules met zowel meerkeuzevragen als essay-opdrachten, verspreid over 180-200 uur zelfstudie per module.</w:t>
      </w:r>
    </w:p>
    <w:p>
      <w:pPr>
        <w:spacing w:after="180" w:line="300"/>
        <w:jc w:val="both"/>
      </w:pPr>
      <w:r>
        <w:rPr>
          <w:rFonts w:ascii="Calibri" w:cs="Calibri" w:eastAsia="Calibri" w:hAnsi="Calibri"/>
          <w:color w:val="1A1A1A"/>
          <w:sz w:val="21"/>
          <w:szCs w:val="21"/>
        </w:rPr>
        <w:t xml:space="preserve">3. Bijvoorbeeld: matrixvalkuilen op programmaschaal, Monte Carlo-interpretatie, opzet/werkingseffectiviteit, gemeenschappelijke-oorzaakanalyse, DORA-reikwijdte, vertaling naar gremium, onafhankelijkheid zonder isolatie, eigenaarschap grensoverschrijdend risico (drie hiervan is voldoende).</w:t>
      </w:r>
    </w:p>
    <w:p>
      <w:pPr>
        <w:spacing w:after="180" w:line="300"/>
        <w:jc w:val="both"/>
      </w:pPr>
      <w:r>
        <w:rPr>
          <w:rFonts w:ascii="Calibri" w:cs="Calibri" w:eastAsia="Calibri" w:hAnsi="Calibri"/>
          <w:color w:val="1A1A1A"/>
          <w:sz w:val="21"/>
          <w:szCs w:val="21"/>
        </w:rPr>
        <w:t xml:space="preserve">4. Risicobereidheid-verklaring met projectspecifieke vertaling; kwantitatieve onderbouwing gekoppeld aan een besluit; een gemeenschappelijke-oorzaakcluster; het IT-/cyberrisicodossier met DORA-koppeling; rapportage-op-maat voor twee gremia; de governance-inrichting van de risicofunctie (vier van deze zes is voldoende).</w:t>
      </w:r>
    </w:p>
    <w:p>
      <w:pPr>
        <w:spacing w:after="180" w:line="300"/>
        <w:jc w:val="both"/>
      </w:pPr>
      <w:r>
        <w:rPr>
          <w:rFonts w:ascii="Calibri" w:cs="Calibri" w:eastAsia="Calibri" w:hAnsi="Calibri"/>
          <w:color w:val="1A1A1A"/>
          <w:sz w:val="21"/>
          <w:szCs w:val="21"/>
        </w:rPr>
        <w:t xml:space="preserve">5. Kwalitatief vakmanschap, kwantitatief vakmanschap, patroonherkenning, governance-verdedigbaarheid, vertaling naar gremium.</w:t>
      </w:r>
    </w:p>
    <w:p>
      <w:pPr>
        <w:spacing w:after="180" w:line="300"/>
        <w:jc w:val="both"/>
      </w:pPr>
      <w:r>
        <w:rPr>
          <w:rFonts w:ascii="Calibri" w:cs="Calibri" w:eastAsia="Calibri" w:hAnsi="Calibri"/>
          <w:color w:val="1A1A1A"/>
          <w:sz w:val="21"/>
          <w:szCs w:val="21"/>
        </w:rPr>
        <w:t xml:space="preserve">6. Vertaling naar gremium — het is de directe toepassing van Kernzin 13 op de eigen verdediging: eindigt de presentatie voor elk gremium met een vraag die dát gremium daadwerkelijk kan beantwoorden?</w:t>
      </w:r>
    </w:p>
    <w:p>
      <w:pPr>
        <w:spacing w:after="180" w:line="300"/>
        <w:jc w:val="both"/>
      </w:pPr>
      <w:r>
        <w:rPr>
          <w:rFonts w:ascii="Calibri" w:cs="Calibri" w:eastAsia="Calibri" w:hAnsi="Calibri"/>
          <w:color w:val="1A1A1A"/>
          <w:sz w:val="21"/>
          <w:szCs w:val="21"/>
        </w:rPr>
        <w:t xml:space="preserve">7. Proportionaliteit en cultuur — of het instrumentarium in verhouding staat tot de omvang van de organisatie (deel 21), en of ook slecht nieuws zichtbaar wordt gemaakt in plaats van weggepoetst (deel 20).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2026-08-17T06:43:57.577Z</dcterms:created>
  <dcterms:modified xsi:type="dcterms:W3CDTF">2026-08-17T06:43:57.578Z</dcterms:modified>
</cp:coreProperties>
</file>

<file path=docProps/custom.xml><?xml version="1.0" encoding="utf-8"?>
<Properties xmlns="http://schemas.openxmlformats.org/officeDocument/2006/custom-properties" xmlns:vt="http://schemas.openxmlformats.org/officeDocument/2006/docPropsVTypes"/>
</file>