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2A4A"/>
          <w:sz w:val="44"/>
          <w:szCs w:val="44"/>
        </w:rPr>
        <w:t xml:space="preserve">RISICOMANAGEMENT</w:t>
      </w:r>
    </w:p>
    <w:p>
      <w:pPr>
        <w:spacing w:before="300"/>
        <w:jc w:val="center"/>
      </w:pPr>
      <w:r>
        <w:rPr>
          <w:rFonts w:ascii="Calibri" w:cs="Calibri" w:eastAsia="Calibri" w:hAnsi="Calibri"/>
          <w:color w:val="2C5AA0"/>
          <w:sz w:val="32"/>
          <w:szCs w:val="32"/>
        </w:rPr>
        <w:t xml:space="preserve">Deel 23 — Risicomanagement onder toezicht</w:t>
      </w:r>
    </w:p>
    <w:p>
      <w:pPr>
        <w:spacing w:before="600"/>
        <w:jc w:val="center"/>
      </w:pPr>
      <w:r>
        <w:rPr>
          <w:rFonts w:ascii="Calibri" w:cs="Calibri" w:eastAsia="Calibri" w:hAnsi="Calibri"/>
          <w:b/>
          <w:bCs/>
          <w:color w:val="1B2A4A"/>
          <w:sz w:val="24"/>
          <w:szCs w:val="24"/>
        </w:rPr>
        <w:t xml:space="preserve">Niveau 3 — Expert</w:t>
      </w:r>
    </w:p>
    <w:p>
      <w:pPr>
        <w:spacing w:before="200"/>
        <w:jc w:val="center"/>
      </w:pPr>
      <w:r>
        <w:rPr>
          <w:rFonts w:ascii="Calibri" w:cs="Calibri" w:eastAsia="Calibri" w:hAnsi="Calibri"/>
          <w:i/>
          <w:iCs/>
          <w:color w:val="D99A3D"/>
          <w:sz w:val="24"/>
          <w:szCs w:val="24"/>
        </w:rPr>
        <w:t xml:space="preserve">Docentenhandleiding</w:t>
      </w:r>
    </w:p>
    <w:p>
      <w:pPr>
        <w:spacing w:before="1200"/>
        <w:jc w:val="center"/>
      </w:pPr>
      <w:r>
        <w:rPr>
          <w:rFonts w:ascii="Calibri" w:cs="Calibri" w:eastAsia="Calibri" w:hAnsi="Calibri"/>
          <w:color w:val="8B93A5"/>
          <w:sz w:val="20"/>
          <w:szCs w:val="20"/>
        </w:rPr>
        <w:t xml:space="preserve">Ductus</w:t>
      </w:r>
    </w:p>
    <w:p>
      <w:r>
        <w:br w:type="page"/>
      </w:r>
    </w:p>
    <w:p>
      <w:pPr>
        <w:pStyle w:val="Heading1"/>
        <w:pBdr>
          <w:bottom w:val="single" w:color="1B2A4A" w:sz="6" w:space="4"/>
        </w:pBdr>
        <w:spacing w:after="240" w:before="480"/>
      </w:pPr>
      <w:r>
        <w:rPr>
          <w:rFonts w:ascii="Calibri" w:cs="Calibri" w:eastAsia="Calibri" w:hAnsi="Calibri"/>
          <w:b/>
          <w:bCs/>
          <w:color w:val="1B2A4A"/>
          <w:sz w:val="32"/>
          <w:szCs w:val="32"/>
        </w:rPr>
        <w:t xml:space="preserve">Deel 23 — Docentenhandleiding</w:t>
      </w:r>
    </w:p>
    <w:p>
      <w:pPr>
        <w:pStyle w:val="Heading2"/>
        <w:spacing w:after="160" w:before="360"/>
      </w:pPr>
      <w:r>
        <w:rPr>
          <w:rFonts w:ascii="Calibri" w:cs="Calibri" w:eastAsia="Calibri" w:hAnsi="Calibri"/>
          <w:b/>
          <w:bCs/>
          <w:color w:val="2C5AA0"/>
          <w:sz w:val="26"/>
          <w:szCs w:val="26"/>
        </w:rPr>
        <w:t xml:space="preserve">Positie van dit deel</w:t>
      </w:r>
    </w:p>
    <w:p>
      <w:pPr>
        <w:spacing w:after="180" w:line="300"/>
        <w:jc w:val="both"/>
      </w:pPr>
      <w:r>
        <w:rPr>
          <w:rFonts w:ascii="Calibri" w:cs="Calibri" w:eastAsia="Calibri" w:hAnsi="Calibri"/>
          <w:color w:val="1A1A1A"/>
          <w:sz w:val="21"/>
          <w:szCs w:val="21"/>
        </w:rPr>
        <w:t xml:space="preserve">Dit deel opent niveau 3 en markeert een fundamentele verschuiving: van organisatorisch mandaat naar wettelijk mandaat. Zorg dat deelnemers dit verschil scherp meekrijgen — het is de rode draad die de rest van dit niveau draagt, met name deel 28 (ethiek), waar de vraag ‘wanneer zet je het wettelijke escalatiemiddel daadwerkelijk in’ centraal staat.</w:t>
      </w:r>
    </w:p>
    <w:p>
      <w:pPr>
        <w:spacing w:after="180" w:line="300"/>
        <w:jc w:val="both"/>
      </w:pPr>
      <w:r>
        <w:rPr>
          <w:rFonts w:ascii="Calibri" w:cs="Calibri" w:eastAsia="Calibri" w:hAnsi="Calibri"/>
          <w:color w:val="1A1A1A"/>
          <w:sz w:val="21"/>
          <w:szCs w:val="21"/>
        </w:rPr>
        <w:t xml:space="preserve">Voor deelnemers die de EA-cursus hebben gevolgd: dit deel heeft een vergelijkbare functie als de overgang naar Open CA in die cursus — een certificeringsanker dat geen examen is, maar een geschiktheidsbeoordeling. Trek die parallel als hij bij de groep bekend is.</w:t>
      </w:r>
    </w:p>
    <w:p>
      <w:pPr>
        <w:pStyle w:val="Heading2"/>
        <w:spacing w:after="160" w:before="360"/>
      </w:pPr>
      <w:r>
        <w:rPr>
          <w:rFonts w:ascii="Calibri" w:cs="Calibri" w:eastAsia="Calibri" w:hAnsi="Calibri"/>
          <w:b/>
          <w:bCs/>
          <w:color w:val="2C5AA0"/>
          <w:sz w:val="26"/>
          <w:szCs w:val="26"/>
        </w:rPr>
        <w:t xml:space="preserve">Leerdoelen</w:t>
      </w:r>
    </w:p>
    <w:p>
      <w:pPr>
        <w:pStyle w:val="ListParagraph"/>
        <w:numPr>
          <w:ilvl w:val="0"/>
          <w:numId w:val="2"/>
        </w:numPr>
        <w:spacing w:after="100" w:line="280"/>
      </w:pPr>
      <w:r>
        <w:rPr>
          <w:rFonts w:ascii="Calibri" w:cs="Calibri" w:eastAsia="Calibri" w:hAnsi="Calibri"/>
          <w:color w:val="1A1A1A"/>
          <w:sz w:val="21"/>
          <w:szCs w:val="21"/>
        </w:rPr>
        <w:t xml:space="preserve">de vier Solvency II-sleutelfuncties en de drie sleutelfuncties onder artikel 143a Pensioenwet benoemen en op een gegeven situatie toepassen</w:t>
      </w:r>
    </w:p>
    <w:p>
      <w:pPr>
        <w:pStyle w:val="ListParagraph"/>
        <w:numPr>
          <w:ilvl w:val="0"/>
          <w:numId w:val="2"/>
        </w:numPr>
        <w:spacing w:after="100" w:line="280"/>
      </w:pPr>
      <w:r>
        <w:rPr>
          <w:rFonts w:ascii="Calibri" w:cs="Calibri" w:eastAsia="Calibri" w:hAnsi="Calibri"/>
          <w:color w:val="1A1A1A"/>
          <w:sz w:val="21"/>
          <w:szCs w:val="21"/>
        </w:rPr>
        <w:t xml:space="preserve">artikel 18 en artikel 18b Besluit Ftk elk correct samenvatten</w:t>
      </w:r>
    </w:p>
    <w:p>
      <w:pPr>
        <w:pStyle w:val="ListParagraph"/>
        <w:numPr>
          <w:ilvl w:val="0"/>
          <w:numId w:val="2"/>
        </w:numPr>
        <w:spacing w:after="100" w:line="280"/>
      </w:pPr>
      <w:r>
        <w:rPr>
          <w:rFonts w:ascii="Calibri" w:cs="Calibri" w:eastAsia="Calibri" w:hAnsi="Calibri"/>
          <w:color w:val="1A1A1A"/>
          <w:sz w:val="21"/>
          <w:szCs w:val="21"/>
        </w:rPr>
        <w:t xml:space="preserve">Kernzin 16 toepassen en het verschil tussen organisatorisch en wettelijk mandaat beargumenteren</w:t>
      </w:r>
    </w:p>
    <w:p>
      <w:pPr>
        <w:pStyle w:val="ListParagraph"/>
        <w:numPr>
          <w:ilvl w:val="0"/>
          <w:numId w:val="2"/>
        </w:numPr>
        <w:spacing w:after="100" w:line="280"/>
      </w:pPr>
      <w:r>
        <w:rPr>
          <w:rFonts w:ascii="Calibri" w:cs="Calibri" w:eastAsia="Calibri" w:hAnsi="Calibri"/>
          <w:color w:val="1A1A1A"/>
          <w:sz w:val="21"/>
          <w:szCs w:val="21"/>
        </w:rPr>
        <w:t xml:space="preserve">de opbouw van een DNB-geschiktheids-self-assessment beschrijven</w:t>
      </w:r>
    </w:p>
    <w:p>
      <w:pPr>
        <w:pStyle w:val="ListParagraph"/>
        <w:numPr>
          <w:ilvl w:val="0"/>
          <w:numId w:val="2"/>
        </w:numPr>
        <w:spacing w:after="100" w:line="280"/>
      </w:pPr>
      <w:r>
        <w:rPr>
          <w:rFonts w:ascii="Calibri" w:cs="Calibri" w:eastAsia="Calibri" w:hAnsi="Calibri"/>
          <w:color w:val="1A1A1A"/>
          <w:sz w:val="21"/>
          <w:szCs w:val="21"/>
        </w:rPr>
        <w:t xml:space="preserve">uitleggen waarom DORA in dit niveau geïntegreerd wordt behandeld in plaats van als apart onderwerp</w:t>
      </w:r>
    </w:p>
    <w:p>
      <w:pPr>
        <w:pStyle w:val="Heading2"/>
        <w:spacing w:after="160" w:before="360"/>
      </w:pPr>
      <w:r>
        <w:rPr>
          <w:rFonts w:ascii="Calibri" w:cs="Calibri" w:eastAsia="Calibri" w:hAnsi="Calibri"/>
          <w:b/>
          <w:bCs/>
          <w:color w:val="2C5AA0"/>
          <w:sz w:val="26"/>
          <w:szCs w:val="26"/>
        </w:rPr>
        <w:t xml:space="preserve">Tijdsindeling (één dagdeel, 3 uur 30)</w:t>
      </w:r>
    </w:p>
    <w:tbl>
      <w:tblPr>
        <w:tblW w:type="pct" w:w="100%"/>
        <w:tblBorders>
          <w:top w:val="single" w:color="C7CCD6" w:sz="2"/>
          <w:left w:val="single" w:color="C7CCD6" w:sz="2"/>
          <w:bottom w:val="single" w:color="C7CCD6" w:sz="2"/>
          <w:right w:val="single" w:color="C7CCD6" w:sz="2"/>
          <w:insideH w:val="single" w:color="C7CCD6" w:sz="2"/>
          <w:insideV w:val="single" w:color="C7CCD6" w:sz="2"/>
        </w:tblBorders>
      </w:tblPr>
      <w:tblGrid>
        <w:gridCol w:w="1683"/>
        <w:gridCol w:w="5142"/>
        <w:gridCol w:w="2524"/>
      </w:tblGrid>
      <w:tr>
        <w:trPr>
          <w:tblHeader/>
        </w:trPr>
        <w:tc>
          <w:tcPr>
            <w:tcW w:type="pct" w:w="18%"/>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Tijd</w:t>
            </w:r>
          </w:p>
        </w:tc>
        <w:tc>
          <w:tcPr>
            <w:tcW w:type="pct" w:w="55%"/>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Onderdeel</w:t>
            </w:r>
          </w:p>
        </w:tc>
        <w:tc>
          <w:tcPr>
            <w:tcW w:type="pct" w:w="27%"/>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Vorm</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0:00–0:20</w:t>
            </w:r>
          </w:p>
        </w:tc>
        <w:tc>
          <w:tcPr>
            <w:tcW w:type="pct" w:w="5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Welkom in niveau 3, de vraag aan Sanne</w:t>
            </w:r>
          </w:p>
        </w:tc>
        <w:tc>
          <w:tcPr>
            <w:tcW w:type="pct" w:w="27%"/>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Vertelling, slides 3–5</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0:20–0:50</w:t>
            </w:r>
          </w:p>
        </w:tc>
        <w:tc>
          <w:tcPr>
            <w:tcW w:type="pct" w:w="55%"/>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Solvency II vier sleutelfuncties</w:t>
            </w:r>
          </w:p>
        </w:tc>
        <w:tc>
          <w:tcPr>
            <w:tcW w:type="pct" w:w="27%"/>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Slides 6–9</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0:50–1:15</w:t>
            </w:r>
          </w:p>
        </w:tc>
        <w:tc>
          <w:tcPr>
            <w:tcW w:type="pct" w:w="5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Artikel 143a Pw als spiegel, art. 18/18b Besluit Ftk</w:t>
            </w:r>
          </w:p>
        </w:tc>
        <w:tc>
          <w:tcPr>
            <w:tcW w:type="pct" w:w="27%"/>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Slides 10–13</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1:15–1:30</w:t>
            </w:r>
          </w:p>
        </w:tc>
        <w:tc>
          <w:tcPr>
            <w:tcW w:type="pct" w:w="55%"/>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Pauze</w:t>
            </w:r>
          </w:p>
        </w:tc>
        <w:tc>
          <w:tcPr>
            <w:tcW w:type="pct" w:w="27%"/>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1:30–1:50</w:t>
            </w:r>
          </w:p>
        </w:tc>
        <w:tc>
          <w:tcPr>
            <w:tcW w:type="pct" w:w="5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Opdracht 23.1</w:t>
            </w:r>
          </w:p>
        </w:tc>
        <w:tc>
          <w:tcPr>
            <w:tcW w:type="pct" w:w="27%"/>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Individueel, dan plenair</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1:50–2:20</w:t>
            </w:r>
          </w:p>
        </w:tc>
        <w:tc>
          <w:tcPr>
            <w:tcW w:type="pct" w:w="55%"/>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De DNB-geschiktheidstoetsing praktisch, opdracht 23.3</w:t>
            </w:r>
          </w:p>
        </w:tc>
        <w:tc>
          <w:tcPr>
            <w:tcW w:type="pct" w:w="27%"/>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Slides 14–16</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2:20–2:35</w:t>
            </w:r>
          </w:p>
        </w:tc>
        <w:tc>
          <w:tcPr>
            <w:tcW w:type="pct" w:w="5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Pauze</w:t>
            </w:r>
          </w:p>
        </w:tc>
        <w:tc>
          <w:tcPr>
            <w:tcW w:type="pct" w:w="27%"/>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2:35–3:05</w:t>
            </w:r>
          </w:p>
        </w:tc>
        <w:tc>
          <w:tcPr>
            <w:tcW w:type="pct" w:w="55%"/>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Het wettelijk mandaat, Kernzin 16, opdracht 23.2</w:t>
            </w:r>
          </w:p>
        </w:tc>
        <w:tc>
          <w:tcPr>
            <w:tcW w:type="pct" w:w="27%"/>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Slides 17–20</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3:05–3:25</w:t>
            </w:r>
          </w:p>
        </w:tc>
        <w:tc>
          <w:tcPr>
            <w:tcW w:type="pct" w:w="5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DORA geïntegreerd, wat dit betekent voor Sanne</w:t>
            </w:r>
          </w:p>
        </w:tc>
        <w:tc>
          <w:tcPr>
            <w:tcW w:type="pct" w:w="27%"/>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Slides 21–22</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3:25–3:30</w:t>
            </w:r>
          </w:p>
        </w:tc>
        <w:tc>
          <w:tcPr>
            <w:tcW w:type="pct" w:w="55%"/>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Vooruitblik deel 24</w:t>
            </w:r>
          </w:p>
        </w:tc>
        <w:tc>
          <w:tcPr>
            <w:tcW w:type="pct" w:w="27%"/>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Slide 23</w:t>
            </w:r>
          </w:p>
        </w:tc>
      </w:tr>
    </w:tbl>
    <w:p>
      <w:pPr>
        <w:spacing w:after="180" w:line="300"/>
        <w:jc w:val="both"/>
      </w:pPr>
      <w:r>
        <w:rPr>
          <w:rFonts w:ascii="Calibri" w:cs="Calibri" w:eastAsia="Calibri" w:hAnsi="Calibri"/>
          <w:color w:val="1A1A1A"/>
          <w:sz w:val="21"/>
          <w:szCs w:val="21"/>
        </w:rPr>
        <w:t xml:space="preserve">Huiswerk voor deel 24: geen nieuwe formele opdracht; vraag deelnemers na te denken over een situatie in hun eigen organisatie waarin een wettelijk (in plaats van organisatorisch) mandaat een andere uitkomst zou hebben gegeven dan wat er destijds gebeurde.</w:t>
      </w:r>
    </w:p>
    <w:p>
      <w:pPr>
        <w:pStyle w:val="Heading2"/>
        <w:spacing w:after="160" w:before="360"/>
      </w:pPr>
      <w:r>
        <w:rPr>
          <w:rFonts w:ascii="Calibri" w:cs="Calibri" w:eastAsia="Calibri" w:hAnsi="Calibri"/>
          <w:b/>
          <w:bCs/>
          <w:color w:val="2C5AA0"/>
          <w:sz w:val="26"/>
          <w:szCs w:val="26"/>
        </w:rPr>
        <w:t xml:space="preserve">Valkuilen bij de uitleg</w:t>
      </w:r>
    </w:p>
    <w:p>
      <w:pPr>
        <w:pStyle w:val="ListParagraph"/>
        <w:numPr>
          <w:ilvl w:val="0"/>
          <w:numId w:val="2"/>
        </w:numPr>
        <w:spacing w:after="100" w:line="280"/>
      </w:pPr>
      <w:r>
        <w:rPr>
          <w:rFonts w:ascii="Calibri" w:cs="Calibri" w:eastAsia="Calibri" w:hAnsi="Calibri"/>
          <w:color w:val="1A1A1A"/>
          <w:sz w:val="21"/>
          <w:szCs w:val="21"/>
        </w:rPr>
        <w:t xml:space="preserve">Solvency II en de Pensioenwet als concurrerende, verwarrende kaders presenteren. Ze zijn complementair, niet concurrerend — Meridiaan schakelt tussen beide afhankelijk van de hoedanigheid waarin het optreedt. Gebruik opdracht 23.1 vroeg om dit onderscheid concreet te maken.</w:t>
      </w:r>
    </w:p>
    <w:p>
      <w:pPr>
        <w:pStyle w:val="ListParagraph"/>
        <w:numPr>
          <w:ilvl w:val="0"/>
          <w:numId w:val="2"/>
        </w:numPr>
        <w:spacing w:after="100" w:line="280"/>
      </w:pPr>
      <w:r>
        <w:rPr>
          <w:rFonts w:ascii="Calibri" w:cs="Calibri" w:eastAsia="Calibri" w:hAnsi="Calibri"/>
          <w:color w:val="1A1A1A"/>
          <w:sz w:val="21"/>
          <w:szCs w:val="21"/>
        </w:rPr>
        <w:t xml:space="preserve">Het wettelijk mandaat laten voelen als onbeperkte macht. Het is een uiterste middel, geen dagelijks instrument — dat nuance komt in dit deel nog niet volledig aan bod (dat is deel 28), maar waarschuw er al kort voor om te voorkomen dat deelnemers de indruk krijgen dat een sleutelfunctiehouder naar willekeur kan escaleren naar de toezichthouder.</w:t>
      </w:r>
    </w:p>
    <w:p>
      <w:pPr>
        <w:pStyle w:val="ListParagraph"/>
        <w:numPr>
          <w:ilvl w:val="0"/>
          <w:numId w:val="2"/>
        </w:numPr>
        <w:spacing w:after="100" w:line="280"/>
      </w:pPr>
      <w:r>
        <w:rPr>
          <w:rFonts w:ascii="Calibri" w:cs="Calibri" w:eastAsia="Calibri" w:hAnsi="Calibri"/>
          <w:color w:val="1A1A1A"/>
          <w:sz w:val="21"/>
          <w:szCs w:val="21"/>
        </w:rPr>
        <w:t xml:space="preserve">De geschiktheidstoetsing als eenmalige hobbel presenteren. Benadruk het doorlopende karakter — dit is een deel van de reden dat DNB dit als self assessment inricht in plaats van een eenmalig examen: geschiktheid moet aantoonbaar blíjven, niet alleen ooit zijn aangetoond.</w:t>
      </w:r>
    </w:p>
    <w:p>
      <w:pPr>
        <w:pStyle w:val="Heading2"/>
        <w:spacing w:after="160" w:before="360"/>
      </w:pPr>
      <w:r>
        <w:rPr>
          <w:rFonts w:ascii="Calibri" w:cs="Calibri" w:eastAsia="Calibri" w:hAnsi="Calibri"/>
          <w:b/>
          <w:bCs/>
          <w:color w:val="2C5AA0"/>
          <w:sz w:val="26"/>
          <w:szCs w:val="26"/>
        </w:rPr>
        <w:t xml:space="preserve">Bij welke groep werkt dit hoe</w:t>
      </w:r>
    </w:p>
    <w:p>
      <w:pPr>
        <w:spacing w:after="180" w:line="300"/>
        <w:jc w:val="both"/>
      </w:pPr>
      <w:r>
        <w:rPr>
          <w:rFonts w:ascii="Calibri" w:cs="Calibri" w:eastAsia="Calibri" w:hAnsi="Calibri"/>
          <w:color w:val="1A1A1A"/>
          <w:sz w:val="21"/>
          <w:szCs w:val="21"/>
        </w:rPr>
        <w:t xml:space="preserve">Deelnemers die werkzaam zijn bij een pensioenfonds zullen artikel 143a Pw en de sleutelfuncties daaronder mogelijk al kennen uit de eigen praktijk. Gebruik hen om de Solvency II-kant (voor deelnemers bij verzekeraars) aan te vullen met praktijkvoorbeelden vanuit de fondsroute.</w:t>
      </w:r>
    </w:p>
    <w:p>
      <w:pPr>
        <w:spacing w:after="180" w:line="300"/>
        <w:jc w:val="both"/>
      </w:pPr>
      <w:r>
        <w:rPr>
          <w:rFonts w:ascii="Calibri" w:cs="Calibri" w:eastAsia="Calibri" w:hAnsi="Calibri"/>
          <w:color w:val="1A1A1A"/>
          <w:sz w:val="21"/>
          <w:szCs w:val="21"/>
        </w:rPr>
        <w:t xml:space="preserve">Deelnemers bij verzekeraars kennen Solvency II mogelijk beter. Wissel de twee groepen actief uit bij opdracht 23.1 — laat ze elkaars kader uitleggen.</w:t>
      </w:r>
    </w:p>
    <w:p>
      <w:pPr>
        <w:spacing w:after="180" w:line="300"/>
        <w:jc w:val="both"/>
      </w:pPr>
      <w:r>
        <w:rPr>
          <w:rFonts w:ascii="Calibri" w:cs="Calibri" w:eastAsia="Calibri" w:hAnsi="Calibri"/>
          <w:color w:val="1A1A1A"/>
          <w:sz w:val="21"/>
          <w:szCs w:val="21"/>
        </w:rPr>
        <w:t xml:space="preserve">Deelnemers die ook de pensioenverzekeringscursus hebben gevolgd herkennen de drieluik-taal en het onderscheid Wtp/niet-Wtp mogelijk al. Gebruik hun kennis om sneller door het wettelijke kader te gaan en meer tijd te besteden aan het wettelijk-mandaat-onderscheid.</w:t>
      </w:r>
    </w:p>
    <w:p>
      <w:pPr>
        <w:pStyle w:val="Heading2"/>
        <w:spacing w:after="160" w:before="360"/>
      </w:pPr>
      <w:r>
        <w:rPr>
          <w:rFonts w:ascii="Calibri" w:cs="Calibri" w:eastAsia="Calibri" w:hAnsi="Calibri"/>
          <w:b/>
          <w:bCs/>
          <w:color w:val="2C5AA0"/>
          <w:sz w:val="26"/>
          <w:szCs w:val="26"/>
        </w:rPr>
        <w:t xml:space="preserve">Discussievragen</w:t>
      </w:r>
    </w:p>
    <w:p>
      <w:pPr>
        <w:pStyle w:val="ListParagraph"/>
        <w:numPr>
          <w:ilvl w:val="0"/>
          <w:numId w:val="2"/>
        </w:numPr>
        <w:spacing w:after="100" w:line="280"/>
      </w:pPr>
      <w:r>
        <w:rPr>
          <w:rFonts w:ascii="Calibri" w:cs="Calibri" w:eastAsia="Calibri" w:hAnsi="Calibri"/>
          <w:color w:val="1A1A1A"/>
          <w:sz w:val="21"/>
          <w:szCs w:val="21"/>
        </w:rPr>
        <w:t xml:space="preserve">Ken je een situatie waarin iemand met een puur organisatorisch mandaat een risico niet durfde te escaleren, terwijl een wettelijk mandaat dat misschien wel had mogelijk gemaakt?</w:t>
      </w:r>
    </w:p>
    <w:p>
      <w:pPr>
        <w:pStyle w:val="ListParagraph"/>
        <w:numPr>
          <w:ilvl w:val="0"/>
          <w:numId w:val="2"/>
        </w:numPr>
        <w:spacing w:after="100" w:line="280"/>
      </w:pPr>
      <w:r>
        <w:rPr>
          <w:rFonts w:ascii="Calibri" w:cs="Calibri" w:eastAsia="Calibri" w:hAnsi="Calibri"/>
          <w:color w:val="1A1A1A"/>
          <w:sz w:val="21"/>
          <w:szCs w:val="21"/>
        </w:rPr>
        <w:t xml:space="preserve">Wat zou er in jouw organisatie veranderen als een risicofunctie een wettelijk, niet-intrekbaar mandaat zou krijgen?</w:t>
      </w:r>
    </w:p>
    <w:p>
      <w:pPr>
        <w:pStyle w:val="ListParagraph"/>
        <w:numPr>
          <w:ilvl w:val="0"/>
          <w:numId w:val="2"/>
        </w:numPr>
        <w:spacing w:after="100" w:line="280"/>
      </w:pPr>
      <w:r>
        <w:rPr>
          <w:rFonts w:ascii="Calibri" w:cs="Calibri" w:eastAsia="Calibri" w:hAnsi="Calibri"/>
          <w:color w:val="1A1A1A"/>
          <w:sz w:val="21"/>
          <w:szCs w:val="21"/>
        </w:rPr>
        <w:t xml:space="preserve">Is geschiktheid in jouw organisatie iets dat ‘ooit is aangetoond’ of iets dat doorlopend wordt getoetst?</w:t>
      </w:r>
    </w:p>
    <w:p>
      <w:pPr>
        <w:pStyle w:val="Heading2"/>
        <w:spacing w:after="160" w:before="360"/>
      </w:pPr>
      <w:r>
        <w:rPr>
          <w:rFonts w:ascii="Calibri" w:cs="Calibri" w:eastAsia="Calibri" w:hAnsi="Calibri"/>
          <w:b/>
          <w:bCs/>
          <w:color w:val="2C5AA0"/>
          <w:sz w:val="26"/>
          <w:szCs w:val="26"/>
        </w:rPr>
        <w:t xml:space="preserve">Antwoordmodel voor de moeilijkste bespreking (opdracht 23.2, onderdeel b)</w:t>
      </w:r>
    </w:p>
    <w:p>
      <w:pPr>
        <w:spacing w:after="180" w:line="300"/>
        <w:jc w:val="both"/>
      </w:pPr>
      <w:r>
        <w:rPr>
          <w:rFonts w:ascii="Calibri" w:cs="Calibri" w:eastAsia="Calibri" w:hAnsi="Calibri"/>
          <w:color w:val="1A1A1A"/>
          <w:sz w:val="21"/>
          <w:szCs w:val="21"/>
        </w:rPr>
        <w:t xml:space="preserve">Deelnemers vragen soms door: ‘maar wat gebeurt er dan als de directie het er toch niet mee eens is?’ Leg uit dat dit precies het punt is — bij een wettelijk mandaat is de instemming van de directie niet vereist voor de uitoefening ervan. Vraag door: wat zou een directie kunnen proberen om deze bevoegdheid tóch te ondermijnen, en wat zou daarvan het gevolg zijn? Denkbare pogingen: druk uitoefenen om niet te melden, de sleutelfunctiehouder isoleren van informatie, of de functie zelf anders inrichten. Elk van deze pogingen is zelf een overtreding van de onafhankelijkheids- en geschiktheidseisen, met een eigen risico voor de organisatie richting de toezichthouder. Dit is de kern van waarom het wettelijk mandaat zo zwaar weegt: het ondermijnen ervan is zelf al een probleem, los van de inhoud van de melding.</w:t>
      </w:r>
    </w:p>
    <w:p>
      <w:pPr>
        <w:pStyle w:val="Heading2"/>
        <w:spacing w:after="160" w:before="360"/>
      </w:pPr>
      <w:r>
        <w:rPr>
          <w:rFonts w:ascii="Calibri" w:cs="Calibri" w:eastAsia="Calibri" w:hAnsi="Calibri"/>
          <w:b/>
          <w:bCs/>
          <w:color w:val="2C5AA0"/>
          <w:sz w:val="26"/>
          <w:szCs w:val="26"/>
        </w:rPr>
        <w:t xml:space="preserve">Materiaal</w:t>
      </w:r>
    </w:p>
    <w:p>
      <w:pPr>
        <w:pStyle w:val="ListParagraph"/>
        <w:numPr>
          <w:ilvl w:val="0"/>
          <w:numId w:val="2"/>
        </w:numPr>
        <w:spacing w:after="100" w:line="280"/>
      </w:pPr>
      <w:r>
        <w:rPr>
          <w:rFonts w:ascii="Calibri" w:cs="Calibri" w:eastAsia="Calibri" w:hAnsi="Calibri"/>
          <w:color w:val="1A1A1A"/>
          <w:sz w:val="21"/>
          <w:szCs w:val="21"/>
        </w:rPr>
        <w:t xml:space="preserve">Het twee-kolommen-figuur (Figuur 23-1) als blijvend naslagwerk voor het hele dagdeel.</w:t>
      </w:r>
    </w:p>
    <w:p>
      <w:pPr>
        <w:pStyle w:val="ListParagraph"/>
        <w:numPr>
          <w:ilvl w:val="0"/>
          <w:numId w:val="2"/>
        </w:numPr>
        <w:spacing w:after="100" w:line="280"/>
      </w:pPr>
      <w:r>
        <w:rPr>
          <w:rFonts w:ascii="Calibri" w:cs="Calibri" w:eastAsia="Calibri" w:hAnsi="Calibri"/>
          <w:color w:val="1A1A1A"/>
          <w:sz w:val="21"/>
          <w:szCs w:val="21"/>
        </w:rPr>
        <w:t xml:space="preserve">Een korte samenvatting van de vier Solvency II-sleutelfuncties en de drie IORP II/Pw-sleutelfuncties als uitdeelblad.</w:t>
      </w:r>
    </w:p>
    <w:p>
      <w:pPr>
        <w:pStyle w:val="Heading2"/>
        <w:spacing w:after="160" w:before="360"/>
      </w:pPr>
      <w:r>
        <w:rPr>
          <w:rFonts w:ascii="Calibri" w:cs="Calibri" w:eastAsia="Calibri" w:hAnsi="Calibri"/>
          <w:b/>
          <w:bCs/>
          <w:color w:val="2C5AA0"/>
          <w:sz w:val="26"/>
          <w:szCs w:val="26"/>
        </w:rPr>
        <w:t xml:space="preserve">Aansluiting op deel 24</w:t>
      </w:r>
    </w:p>
    <w:p>
      <w:pPr>
        <w:spacing w:after="180" w:line="300"/>
        <w:jc w:val="both"/>
      </w:pPr>
      <w:r>
        <w:rPr>
          <w:rFonts w:ascii="Calibri" w:cs="Calibri" w:eastAsia="Calibri" w:hAnsi="Calibri"/>
          <w:color w:val="1A1A1A"/>
          <w:sz w:val="21"/>
          <w:szCs w:val="21"/>
        </w:rPr>
        <w:t xml:space="preserve">Sluit af met: het wettelijk kader staat nu. Deel 24 vult dat kader met inhoud — het eerste advies dat Sanne als kandidaat-sleutelfunctiehouder aan het bestuur voorlegt, gebaseerd op de DNB good practice over de sleutelfunctie risicobeheer tijdens de transitie.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2026-08-17T06:47:36.160Z</dcterms:created>
  <dcterms:modified xsi:type="dcterms:W3CDTF">2026-08-17T06:47:36.161Z</dcterms:modified>
</cp:coreProperties>
</file>

<file path=docProps/custom.xml><?xml version="1.0" encoding="utf-8"?>
<Properties xmlns="http://schemas.openxmlformats.org/officeDocument/2006/custom-properties" xmlns:vt="http://schemas.openxmlformats.org/officeDocument/2006/docPropsVTypes"/>
</file>