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23 — Risicomanagement onder toezicht</w:t>
      </w:r>
    </w:p>
    <w:p>
      <w:pPr>
        <w:spacing w:before="600"/>
        <w:jc w:val="center"/>
      </w:pPr>
      <w:r>
        <w:rPr>
          <w:rFonts w:ascii="Calibri" w:cs="Calibri" w:eastAsia="Calibri" w:hAnsi="Calibri"/>
          <w:b/>
          <w:bCs/>
          <w:color w:val="1B2A4A"/>
          <w:sz w:val="24"/>
          <w:szCs w:val="24"/>
        </w:rPr>
        <w:t xml:space="preserve">Niveau 3 — Expert</w:t>
      </w:r>
    </w:p>
    <w:p>
      <w:pPr>
        <w:spacing w:before="200"/>
        <w:jc w:val="center"/>
      </w:pPr>
      <w:r>
        <w:rPr>
          <w:rFonts w:ascii="Calibri" w:cs="Calibri" w:eastAsia="Calibri" w:hAnsi="Calibri"/>
          <w:i/>
          <w:iCs/>
          <w:color w:val="D99A3D"/>
          <w:sz w:val="24"/>
          <w:szCs w:val="24"/>
        </w:rPr>
        <w:t xml:space="preserve">Werkboek</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23 — Werkboek</w:t>
      </w:r>
    </w:p>
    <w:p>
      <w:pPr>
        <w:spacing w:after="180" w:line="300"/>
        <w:jc w:val="both"/>
      </w:pPr>
      <w:r>
        <w:rPr>
          <w:rFonts w:ascii="Calibri" w:cs="Calibri" w:eastAsia="Calibri" w:hAnsi="Calibri"/>
          <w:i/>
          <w:iCs/>
          <w:color w:val="1A1A1A"/>
          <w:sz w:val="21"/>
          <w:szCs w:val="21"/>
        </w:rPr>
        <w:t xml:space="preserve">Werk de opdrachten uit vóórdat je de uitwerking leest.</w:t>
      </w:r>
    </w:p>
    <w:p>
      <w:pPr>
        <w:pStyle w:val="Heading2"/>
        <w:spacing w:after="160" w:before="360"/>
      </w:pPr>
      <w:r>
        <w:rPr>
          <w:rFonts w:ascii="Calibri" w:cs="Calibri" w:eastAsia="Calibri" w:hAnsi="Calibri"/>
          <w:b/>
          <w:bCs/>
          <w:color w:val="2C5AA0"/>
          <w:sz w:val="26"/>
          <w:szCs w:val="26"/>
        </w:rPr>
        <w:t xml:space="preserve">Opdracht 23.1 — Solvency II of Pensioenwet?</w:t>
      </w:r>
    </w:p>
    <w:p>
      <w:pPr>
        <w:spacing w:after="180" w:line="300"/>
        <w:jc w:val="both"/>
      </w:pPr>
      <w:r>
        <w:rPr>
          <w:rFonts w:ascii="Calibri" w:cs="Calibri" w:eastAsia="Calibri" w:hAnsi="Calibri"/>
          <w:color w:val="1A1A1A"/>
          <w:sz w:val="21"/>
          <w:szCs w:val="21"/>
        </w:rPr>
        <w:t xml:space="preserve">Voor elk van de volgende situaties: valt dit primair onder de Solvency II-sleutelfuncties (Meridiaan als verzekeraar) of onder artikel 143a Pensioenwet (de fondsroute-spiegel)?</w:t>
      </w:r>
    </w:p>
    <w:p>
      <w:pPr>
        <w:spacing w:after="180" w:line="300"/>
        <w:jc w:val="both"/>
      </w:pPr>
      <w:r>
        <w:rPr>
          <w:rFonts w:ascii="Calibri" w:cs="Calibri" w:eastAsia="Calibri" w:hAnsi="Calibri"/>
          <w:color w:val="1A1A1A"/>
          <w:sz w:val="21"/>
          <w:szCs w:val="21"/>
        </w:rPr>
        <w:t xml:space="preserve">a. Meridiaan voert, als verzekeraar, de pensioenregeling van Van Doorn Techniek B.V. uit.</w:t>
      </w:r>
    </w:p>
    <w:p>
      <w:pPr>
        <w:spacing w:after="180" w:line="300"/>
        <w:jc w:val="both"/>
      </w:pPr>
      <w:r>
        <w:rPr>
          <w:rFonts w:ascii="Calibri" w:cs="Calibri" w:eastAsia="Calibri" w:hAnsi="Calibri"/>
          <w:color w:val="1A1A1A"/>
          <w:sz w:val="21"/>
          <w:szCs w:val="21"/>
        </w:rPr>
        <w:t xml:space="preserve">b. Meridiaan treedt op als uitvoerder namens een bedrijfstakpensioenfonds.</w:t>
      </w:r>
    </w:p>
    <w:p>
      <w:pPr>
        <w:spacing w:after="180" w:line="300"/>
        <w:jc w:val="both"/>
      </w:pPr>
      <w:r>
        <w:rPr>
          <w:rFonts w:ascii="Calibri" w:cs="Calibri" w:eastAsia="Calibri" w:hAnsi="Calibri"/>
          <w:color w:val="1A1A1A"/>
          <w:sz w:val="21"/>
          <w:szCs w:val="21"/>
        </w:rPr>
        <w:t xml:space="preserve">c. De actuariële functie van Meridiaan adviseert over het herverzekeringsbeleid.</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Solvency II — Meridiaan handelt hier als verzekeraar met een eigen verzekerde regeling.
b. Pensioenwet/art. 143a (de spiegel) — hier is de fondsroute aan de orde, ook al is Meridiaan de uitvoerende partij.
c. Solvency II — de actuariële functie is een van de vier sleutelfuncties onder Solvency II; herverzekeringsbeleid is typisch verzekeraarsterrein.
Wat je hier moet meenemen: hetzelfde bedrijf, Meridiaan, kan al naar gelang de rol die het vervult onder verschillende regimes vallen — de vraag is niet ‘wie is Meridiaan’ maar ‘in welke hoedanigheid handelt Meridiaan hier’.</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23.2 — Organisatorisch versus wettelijk mandaat</w:t>
      </w:r>
    </w:p>
    <w:p>
      <w:pPr>
        <w:spacing w:after="180" w:line="300"/>
        <w:jc w:val="both"/>
      </w:pPr>
      <w:r>
        <w:rPr>
          <w:rFonts w:ascii="Calibri" w:cs="Calibri" w:eastAsia="Calibri" w:hAnsi="Calibri"/>
          <w:color w:val="1A1A1A"/>
          <w:sz w:val="21"/>
          <w:szCs w:val="21"/>
        </w:rPr>
        <w:t xml:space="preserve">Voor elk van de volgende bevoegdheden: is dit een organisatorisch mandaat (zoals in niveau 1-2) of een wettelijk mandaat (zoals in dit deel geïntroduceerd)?</w:t>
      </w:r>
    </w:p>
    <w:p>
      <w:pPr>
        <w:spacing w:after="180" w:line="300"/>
        <w:jc w:val="both"/>
      </w:pPr>
      <w:r>
        <w:rPr>
          <w:rFonts w:ascii="Calibri" w:cs="Calibri" w:eastAsia="Calibri" w:hAnsi="Calibri"/>
          <w:color w:val="1A1A1A"/>
          <w:sz w:val="21"/>
          <w:szCs w:val="21"/>
        </w:rPr>
        <w:t xml:space="preserve">a. Sanne kan, als programma-risicomanager, escaleren naar de directie als een tolerantie wordt overschreden.</w:t>
      </w:r>
    </w:p>
    <w:p>
      <w:pPr>
        <w:spacing w:after="180" w:line="300"/>
        <w:jc w:val="both"/>
      </w:pPr>
      <w:r>
        <w:rPr>
          <w:rFonts w:ascii="Calibri" w:cs="Calibri" w:eastAsia="Calibri" w:hAnsi="Calibri"/>
          <w:color w:val="1A1A1A"/>
          <w:sz w:val="21"/>
          <w:szCs w:val="21"/>
        </w:rPr>
        <w:t xml:space="preserve">b. Sanne kan, als sleutelfunctiehouder, in voorkomende gevallen een melding doen bij DNB, ongeacht wat de directie daarvan vindt.</w:t>
      </w:r>
    </w:p>
    <w:p>
      <w:pPr>
        <w:spacing w:after="180" w:line="300"/>
        <w:jc w:val="both"/>
      </w:pPr>
      <w:r>
        <w:rPr>
          <w:rFonts w:ascii="Calibri" w:cs="Calibri" w:eastAsia="Calibri" w:hAnsi="Calibri"/>
          <w:color w:val="1A1A1A"/>
          <w:sz w:val="21"/>
          <w:szCs w:val="21"/>
        </w:rPr>
        <w:t xml:space="preserve">c. Sanne krijgt van de directie een vaste, wekelijkse afspraak met de CFO.</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Organisatorisch mandaat — toegekend door de directie, en in theorie ook weer in te trekken.
b. Wettelijk mandaat — ontleend aan de onderliggende Europese richtlijn, niet aan een besluit van Meridiaan zelf.
c. Organisatorisch mandaat — een praktische afspraak, geen wettelijke verplichting.
Discussiepunt: vraag door wat er zou gebeuren als de directie bij b zou proberen deze bevoegdheid alsnog te blokkeren. Antwoord: dat zou zelf een overtreding van de geschiktheids- en onafhankelijkheidseisen zijn, met eigen consequenties richting de toezichthouder.</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23.3 — Onderdelen van een geschiktheids-self-assessment</w:t>
      </w:r>
    </w:p>
    <w:p>
      <w:pPr>
        <w:spacing w:after="180" w:line="300"/>
        <w:jc w:val="both"/>
      </w:pPr>
      <w:r>
        <w:rPr>
          <w:rFonts w:ascii="Calibri" w:cs="Calibri" w:eastAsia="Calibri" w:hAnsi="Calibri"/>
          <w:color w:val="1A1A1A"/>
          <w:sz w:val="21"/>
          <w:szCs w:val="21"/>
        </w:rPr>
        <w:t xml:space="preserve">Stel dat je zelf een self assessment voor een sleutelfunctiehouderschap zou moeten voorbereiden. Noteer, voor elk van de drie categorieën uit paragraaf 23.3 (kennis, werkervaring, competenties), twee concrete voorbeelden uit je eigen loopbaan of opleiding die je zou kunnen aanvoeren.</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Geen vast antwoord — persoonlijke toepassingsopdracht. Ter kalibratie, voorbeelden zoals Sanne ze zou kunnen aanvoeren:
Kennis: afronding van deze cursus (niveau 1 t/m 3); eerdere ervaring met ISO 31000 en M_o_R in de praktijk.
Werkervaring: rol als projectrisicomanager bij de WGP 2.0-herstart; rol als programma-risicomanager bij het Mutatieplatform.
Competenties: aantoonbare gevallen van onafhankelijke oordeelsvorming (bijvoorbeeld het aanwijzen van inconsistenties tussen projecttoleranties, deel 12, niveau 2); overtuigingskracht (de capstone-verdedigingen in deel 10 en 22).</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Zelftoets deel 23</w:t>
      </w:r>
    </w:p>
    <w:p>
      <w:pPr>
        <w:pStyle w:val="ListParagraph"/>
        <w:numPr>
          <w:ilvl w:val="0"/>
          <w:numId w:val="2"/>
        </w:numPr>
        <w:spacing w:after="100" w:line="280"/>
      </w:pPr>
      <w:r>
        <w:rPr>
          <w:rFonts w:ascii="Calibri" w:cs="Calibri" w:eastAsia="Calibri" w:hAnsi="Calibri"/>
          <w:color w:val="1A1A1A"/>
          <w:sz w:val="21"/>
          <w:szCs w:val="21"/>
        </w:rPr>
        <w:t xml:space="preserve">1. Welke vier sleutelfuncties kent Solvency II, en welke drie kent artikel 143a Pensioenwet?</w:t>
      </w:r>
    </w:p>
    <w:p>
      <w:pPr>
        <w:pStyle w:val="ListParagraph"/>
        <w:numPr>
          <w:ilvl w:val="0"/>
          <w:numId w:val="2"/>
        </w:numPr>
        <w:spacing w:after="100" w:line="280"/>
      </w:pPr>
      <w:r>
        <w:rPr>
          <w:rFonts w:ascii="Calibri" w:cs="Calibri" w:eastAsia="Calibri" w:hAnsi="Calibri"/>
          <w:color w:val="1A1A1A"/>
          <w:sz w:val="21"/>
          <w:szCs w:val="21"/>
        </w:rPr>
        <w:t xml:space="preserve">2. Wat eisen artikel 18 en artikel 18b Besluit Ftk, ieder afzonderlijk?</w:t>
      </w:r>
    </w:p>
    <w:p>
      <w:pPr>
        <w:pStyle w:val="ListParagraph"/>
        <w:numPr>
          <w:ilvl w:val="0"/>
          <w:numId w:val="2"/>
        </w:numPr>
        <w:spacing w:after="100" w:line="280"/>
      </w:pPr>
      <w:r>
        <w:rPr>
          <w:rFonts w:ascii="Calibri" w:cs="Calibri" w:eastAsia="Calibri" w:hAnsi="Calibri"/>
          <w:color w:val="1A1A1A"/>
          <w:sz w:val="21"/>
          <w:szCs w:val="21"/>
        </w:rPr>
        <w:t xml:space="preserve">3. Wat is kernzin 16?</w:t>
      </w:r>
    </w:p>
    <w:p>
      <w:pPr>
        <w:pStyle w:val="ListParagraph"/>
        <w:numPr>
          <w:ilvl w:val="0"/>
          <w:numId w:val="2"/>
        </w:numPr>
        <w:spacing w:after="100" w:line="280"/>
      </w:pPr>
      <w:r>
        <w:rPr>
          <w:rFonts w:ascii="Calibri" w:cs="Calibri" w:eastAsia="Calibri" w:hAnsi="Calibri"/>
          <w:color w:val="1A1A1A"/>
          <w:sz w:val="21"/>
          <w:szCs w:val="21"/>
        </w:rPr>
        <w:t xml:space="preserve">4. Wat is het verschil tussen een organisatorisch en een wettelijk mandaat?</w:t>
      </w:r>
    </w:p>
    <w:p>
      <w:pPr>
        <w:pStyle w:val="ListParagraph"/>
        <w:numPr>
          <w:ilvl w:val="0"/>
          <w:numId w:val="2"/>
        </w:numPr>
        <w:spacing w:after="100" w:line="280"/>
      </w:pPr>
      <w:r>
        <w:rPr>
          <w:rFonts w:ascii="Calibri" w:cs="Calibri" w:eastAsia="Calibri" w:hAnsi="Calibri"/>
          <w:color w:val="1A1A1A"/>
          <w:sz w:val="21"/>
          <w:szCs w:val="21"/>
        </w:rPr>
        <w:t xml:space="preserve">5. Waaruit bestaat de DNB-geschiktheidstoetsing, en waarom is het een doorlopende in plaats van eenmalige verantwoordelijkheid?</w:t>
      </w:r>
    </w:p>
    <w:p>
      <w:pPr>
        <w:pStyle w:val="ListParagraph"/>
        <w:numPr>
          <w:ilvl w:val="0"/>
          <w:numId w:val="2"/>
        </w:numPr>
        <w:spacing w:after="100" w:line="280"/>
      </w:pPr>
      <w:r>
        <w:rPr>
          <w:rFonts w:ascii="Calibri" w:cs="Calibri" w:eastAsia="Calibri" w:hAnsi="Calibri"/>
          <w:color w:val="1A1A1A"/>
          <w:sz w:val="21"/>
          <w:szCs w:val="21"/>
        </w:rPr>
        <w:t xml:space="preserve">6. Waarom wordt DORA in dit niveau niet meer als apart onderwerp behandeld?</w:t>
      </w:r>
    </w:p>
    <w:p>
      <w:pPr>
        <w:pStyle w:val="Heading2"/>
        <w:spacing w:after="160" w:before="360"/>
      </w:pPr>
      <w:r>
        <w:rPr>
          <w:rFonts w:ascii="Calibri" w:cs="Calibri" w:eastAsia="Calibri" w:hAnsi="Calibri"/>
          <w:b/>
          <w:bCs/>
          <w:color w:val="2C5AA0"/>
          <w:sz w:val="26"/>
          <w:szCs w:val="26"/>
        </w:rPr>
        <w:t xml:space="preserve">Antwoorden zelftoets</w:t>
      </w:r>
    </w:p>
    <w:p>
      <w:pPr>
        <w:spacing w:after="180" w:line="300"/>
        <w:jc w:val="both"/>
      </w:pPr>
      <w:r>
        <w:rPr>
          <w:rFonts w:ascii="Calibri" w:cs="Calibri" w:eastAsia="Calibri" w:hAnsi="Calibri"/>
          <w:color w:val="1A1A1A"/>
          <w:sz w:val="21"/>
          <w:szCs w:val="21"/>
        </w:rPr>
        <w:t xml:space="preserve">1. Solvency II: risicobeheer, actuarieel, compliance, interne audit. Artikel 143a Pensioenwet: risicobeheer, interne audit, actuarieel.</w:t>
      </w:r>
    </w:p>
    <w:p>
      <w:pPr>
        <w:spacing w:after="180" w:line="300"/>
        <w:jc w:val="both"/>
      </w:pPr>
      <w:r>
        <w:rPr>
          <w:rFonts w:ascii="Calibri" w:cs="Calibri" w:eastAsia="Calibri" w:hAnsi="Calibri"/>
          <w:color w:val="1A1A1A"/>
          <w:sz w:val="21"/>
          <w:szCs w:val="21"/>
        </w:rPr>
        <w:t xml:space="preserve">2. Artikel 18 Besluit Ftk: het risicobeheer moet adequaat en onafhankelijk zijn, en goed geïntegreerd in de organisatiestructuur en besluitvormingsprocessen. Artikel 18b Besluit Ftk: verplicht tot een eigenrisicobeoordeling (ERB), minstens eens per drie jaar.</w:t>
      </w:r>
    </w:p>
    <w:p>
      <w:pPr>
        <w:spacing w:after="180" w:line="300"/>
        <w:jc w:val="both"/>
      </w:pPr>
      <w:r>
        <w:rPr>
          <w:rFonts w:ascii="Calibri" w:cs="Calibri" w:eastAsia="Calibri" w:hAnsi="Calibri"/>
          <w:color w:val="1A1A1A"/>
          <w:sz w:val="21"/>
          <w:szCs w:val="21"/>
        </w:rPr>
        <w:t xml:space="preserve">3. Onder toezicht is mandaat niet langer alleen een organisatieafspraak — het is een wettelijk recht dat de organisatie niet kan intrekken.</w:t>
      </w:r>
    </w:p>
    <w:p>
      <w:pPr>
        <w:spacing w:after="180" w:line="300"/>
        <w:jc w:val="both"/>
      </w:pPr>
      <w:r>
        <w:rPr>
          <w:rFonts w:ascii="Calibri" w:cs="Calibri" w:eastAsia="Calibri" w:hAnsi="Calibri"/>
          <w:color w:val="1A1A1A"/>
          <w:sz w:val="21"/>
          <w:szCs w:val="21"/>
        </w:rPr>
        <w:t xml:space="preserve">4. Een organisatorisch mandaat wordt toegekend door de eigen organisatie en kan in theorie worden ingetrokken; een wettelijk mandaat is ontleend aan wet- of richtlijngeving en ligt buiten het bereik van de organisatie zelf.</w:t>
      </w:r>
    </w:p>
    <w:p>
      <w:pPr>
        <w:spacing w:after="180" w:line="300"/>
        <w:jc w:val="both"/>
      </w:pPr>
      <w:r>
        <w:rPr>
          <w:rFonts w:ascii="Calibri" w:cs="Calibri" w:eastAsia="Calibri" w:hAnsi="Calibri"/>
          <w:color w:val="1A1A1A"/>
          <w:sz w:val="21"/>
          <w:szCs w:val="21"/>
        </w:rPr>
        <w:t xml:space="preserve">5. Uit een self assessment op kennis, werkervaring en competenties, ingediend via het Digitaal Loket Toezicht. Het is doorlopend omdat geschiktheid geen eenmalig behaald certificaat is, maar een staat die voortdurend aantoonbaar moet blijven.</w:t>
      </w:r>
    </w:p>
    <w:p>
      <w:pPr>
        <w:spacing w:after="180" w:line="300"/>
        <w:jc w:val="both"/>
      </w:pPr>
      <w:r>
        <w:rPr>
          <w:rFonts w:ascii="Calibri" w:cs="Calibri" w:eastAsia="Calibri" w:hAnsi="Calibri"/>
          <w:color w:val="1A1A1A"/>
          <w:sz w:val="21"/>
          <w:szCs w:val="21"/>
        </w:rPr>
        <w:t xml:space="preserve">6. Omdat het inmiddels is geïntegreerd als een van de wettelijke kaders waarbinnen de sleutelfunctie risicobeheer opereert, naast Solvency II en de Pensioenwet, in plaats van een op zichzelf staand onderwerp.</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2026-08-17T06:47:35.963Z</dcterms:created>
  <dcterms:modified xsi:type="dcterms:W3CDTF">2026-08-17T06:47:35.964Z</dcterms:modified>
</cp:coreProperties>
</file>

<file path=docProps/custom.xml><?xml version="1.0" encoding="utf-8"?>
<Properties xmlns="http://schemas.openxmlformats.org/officeDocument/2006/custom-properties" xmlns:vt="http://schemas.openxmlformats.org/officeDocument/2006/docPropsVTypes"/>
</file>