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24 — Strategisch risico en de sleutelfunctie tijdens de transitie</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24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geeft de wettelijke rol uit deel 23 voor het eerst inhoud: het gaat niet langer over wát de sleutelfunctiehouder mag, maar over wat zij daadwerkelijk levert. De tweedelijnsopinie is een nieuw soort document in deze cursus — zwaarder dan een rapportage (deel 19, niveau 2), met een eigen juridisch-bestuurlijke lading.</w:t>
      </w:r>
    </w:p>
    <w:p>
      <w:pPr>
        <w:spacing w:after="180" w:line="300"/>
        <w:jc w:val="both"/>
      </w:pPr>
      <w:r>
        <w:rPr>
          <w:rFonts w:ascii="Calibri" w:cs="Calibri" w:eastAsia="Calibri" w:hAnsi="Calibri"/>
          <w:color w:val="1A1A1A"/>
          <w:sz w:val="21"/>
          <w:szCs w:val="21"/>
        </w:rPr>
        <w:t xml:space="preserve">Bewaak dat de DNB good practice als levend, praktijkgericht document wordt behandeld, niet als abstracte tekst. De drie elementen in paragraaf 24.2 zijn direct ontleend aan concrete DNB-bevindingen bij pensioenfondsen; gebruik dat realisme om het deel geaard te houden.</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strategisch risico onderscheiden van operationeel risico aan de hand van de vuistregel uit dit deel</w:t>
      </w:r>
    </w:p>
    <w:p>
      <w:pPr>
        <w:pStyle w:val="ListParagraph"/>
        <w:numPr>
          <w:ilvl w:val="0"/>
          <w:numId w:val="2"/>
        </w:numPr>
        <w:spacing w:after="100" w:line="280"/>
      </w:pPr>
      <w:r>
        <w:rPr>
          <w:rFonts w:ascii="Calibri" w:cs="Calibri" w:eastAsia="Calibri" w:hAnsi="Calibri"/>
          <w:color w:val="1A1A1A"/>
          <w:sz w:val="21"/>
          <w:szCs w:val="21"/>
        </w:rPr>
        <w:t xml:space="preserve">de drie elementen van de DNB good practice over de sleutelfunctie risicobeheer tijdens de transitie benoemen en toepassen</w:t>
      </w:r>
    </w:p>
    <w:p>
      <w:pPr>
        <w:pStyle w:val="ListParagraph"/>
        <w:numPr>
          <w:ilvl w:val="0"/>
          <w:numId w:val="2"/>
        </w:numPr>
        <w:spacing w:after="100" w:line="280"/>
      </w:pPr>
      <w:r>
        <w:rPr>
          <w:rFonts w:ascii="Calibri" w:cs="Calibri" w:eastAsia="Calibri" w:hAnsi="Calibri"/>
          <w:color w:val="1A1A1A"/>
          <w:sz w:val="21"/>
          <w:szCs w:val="21"/>
        </w:rPr>
        <w:t xml:space="preserve">het principe ‘model bevragen, niet bouwen’ toepassen op plausibiliteitscontrole</w:t>
      </w:r>
    </w:p>
    <w:p>
      <w:pPr>
        <w:pStyle w:val="ListParagraph"/>
        <w:numPr>
          <w:ilvl w:val="0"/>
          <w:numId w:val="2"/>
        </w:numPr>
        <w:spacing w:after="100" w:line="280"/>
      </w:pPr>
      <w:r>
        <w:rPr>
          <w:rFonts w:ascii="Calibri" w:cs="Calibri" w:eastAsia="Calibri" w:hAnsi="Calibri"/>
          <w:color w:val="1A1A1A"/>
          <w:sz w:val="21"/>
          <w:szCs w:val="21"/>
        </w:rPr>
        <w:t xml:space="preserve">Kernzin 17 toepassen en het verschil tussen een functionerend advies en decoratie beargumenteren</w:t>
      </w:r>
    </w:p>
    <w:p>
      <w:pPr>
        <w:pStyle w:val="ListParagraph"/>
        <w:numPr>
          <w:ilvl w:val="0"/>
          <w:numId w:val="2"/>
        </w:numPr>
        <w:spacing w:after="100" w:line="280"/>
      </w:pPr>
      <w:r>
        <w:rPr>
          <w:rFonts w:ascii="Calibri" w:cs="Calibri" w:eastAsia="Calibri" w:hAnsi="Calibri"/>
          <w:color w:val="1A1A1A"/>
          <w:sz w:val="21"/>
          <w:szCs w:val="21"/>
        </w:rPr>
        <w:t xml:space="preserve">het onderscheid tussen strategisch risico en ondernemingsrisico uitleggen</w:t>
      </w:r>
    </w:p>
    <w:p>
      <w:pPr>
        <w:pStyle w:val="ListParagraph"/>
        <w:numPr>
          <w:ilvl w:val="0"/>
          <w:numId w:val="2"/>
        </w:numPr>
        <w:spacing w:after="100" w:line="280"/>
      </w:pPr>
      <w:r>
        <w:rPr>
          <w:rFonts w:ascii="Calibri" w:cs="Calibri" w:eastAsia="Calibri" w:hAnsi="Calibri"/>
          <w:color w:val="1A1A1A"/>
          <w:sz w:val="21"/>
          <w:szCs w:val="21"/>
        </w:rPr>
        <w:t xml:space="preserve">een gestructureerde tweedelijnsopinie opzetten volgens het vier-onderdelen-format uit dit deel</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23, het eerste advies</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0:15–0:45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Strategisch versus operationeel risico, de COSO-koppeling</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5–8</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0:45–1:05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Opdracht 24.1</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dan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1:05–1:20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1:20–1:50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DNB good practice, drie elementen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9–13</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1:50–2:15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Opdracht 24.2</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In tweetallen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2:15–2:30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2:30–2:50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Kernzin 17, advies versus decoratie, opdracht 24.3</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14–16</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2:50–3:10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Ondernemingsrisico, Sanne's opzet</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17–19</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3:10–3:25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Korte oefening: eigen tweedelijnsopinie schetsen</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25</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 20</w:t>
            </w:r>
          </w:p>
        </w:tc>
      </w:tr>
    </w:tbl>
    <w:p>
      <w:pPr>
        <w:spacing w:after="180" w:line="300"/>
        <w:jc w:val="both"/>
      </w:pPr>
      <w:r>
        <w:rPr>
          <w:rFonts w:ascii="Calibri" w:cs="Calibri" w:eastAsia="Calibri" w:hAnsi="Calibri"/>
          <w:color w:val="1A1A1A"/>
          <w:sz w:val="21"/>
          <w:szCs w:val="21"/>
        </w:rPr>
        <w:t xml:space="preserve">Huiswerk voor deel 25: geen nieuwe formele opdracht; vraag deelnemers na te denken over een uitbestede activiteit in hun eigen organisatie (IT, administratie, vermogensbeheer) — dit materiaal wordt in deel 25 gebruikt.</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Het strategisch/operationeel-onderscheid te scherp laten voelen. De reader erkent zelf dat het onderscheid niet altijd scherp is — laat die nuance staan, en gebruik opdracht 24.1 om te laten zien dat de vuistregel een hulpmiddel is, geen exacte grens.</w:t>
      </w:r>
    </w:p>
    <w:p>
      <w:pPr>
        <w:pStyle w:val="ListParagraph"/>
        <w:numPr>
          <w:ilvl w:val="0"/>
          <w:numId w:val="2"/>
        </w:numPr>
        <w:spacing w:after="100" w:line="280"/>
      </w:pPr>
      <w:r>
        <w:rPr>
          <w:rFonts w:ascii="Calibri" w:cs="Calibri" w:eastAsia="Calibri" w:hAnsi="Calibri"/>
          <w:color w:val="1A1A1A"/>
          <w:sz w:val="21"/>
          <w:szCs w:val="21"/>
        </w:rPr>
        <w:t xml:space="preserve">Plausibiliteitscontrole verwarren met het overdoen van de berekening. Dit is de belangrijkste denkfout om te voorkomen: de sleutelfunctiehouder is geen tweede actuaris. Herhaal het onderscheid vaak: toetsen of aannames en methode redelijk zijn, niet zelf herberekenen.</w:t>
      </w:r>
    </w:p>
    <w:p>
      <w:pPr>
        <w:pStyle w:val="ListParagraph"/>
        <w:numPr>
          <w:ilvl w:val="0"/>
          <w:numId w:val="2"/>
        </w:numPr>
        <w:spacing w:after="100" w:line="280"/>
      </w:pPr>
      <w:r>
        <w:rPr>
          <w:rFonts w:ascii="Calibri" w:cs="Calibri" w:eastAsia="Calibri" w:hAnsi="Calibri"/>
          <w:color w:val="1A1A1A"/>
          <w:sz w:val="21"/>
          <w:szCs w:val="21"/>
        </w:rPr>
        <w:t xml:space="preserve">Kernzin 17 laten voelen als ‘het bestuur moet altijd luisteren’. Dat is niet de boodschap — het bestuur mag afwijken. De eis is motivering, niet gehoorzaamheid. Wees hier precies over, anders ontstaat een verkeerd beeld van de bevoegdheden van een sleutelfunctiehouder.</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Deelnemers met bestuurlijke ervaring kunnen goed meedenken over wat een ‘aantoonbaar gemotiveerde afwijking’ in de praktijk betekent — vraag hen naar voorbeelden uit eigen ervaring van goed en slecht gedocumenteerde bestuursbesluiten.</w:t>
      </w:r>
    </w:p>
    <w:p>
      <w:pPr>
        <w:spacing w:after="180" w:line="300"/>
        <w:jc w:val="both"/>
      </w:pPr>
      <w:r>
        <w:rPr>
          <w:rFonts w:ascii="Calibri" w:cs="Calibri" w:eastAsia="Calibri" w:hAnsi="Calibri"/>
          <w:color w:val="1A1A1A"/>
          <w:sz w:val="21"/>
          <w:szCs w:val="21"/>
        </w:rPr>
        <w:t xml:space="preserve">Deelnemers met actuariële achtergrond zijn goed gepositioneerd om het onderscheid tussen plausibiliteitscontrole en herberekening scherp te maken — betrek hen actief bij opdracht 24.2, onderdeel a.</w:t>
      </w:r>
    </w:p>
    <w:p>
      <w:pPr>
        <w:spacing w:after="180" w:line="300"/>
        <w:jc w:val="both"/>
      </w:pPr>
      <w:r>
        <w:rPr>
          <w:rFonts w:ascii="Calibri" w:cs="Calibri" w:eastAsia="Calibri" w:hAnsi="Calibri"/>
          <w:color w:val="1A1A1A"/>
          <w:sz w:val="21"/>
          <w:szCs w:val="21"/>
        </w:rPr>
        <w:t xml:space="preserve">Deelnemers zonder ervaring met formele adviesdocumenten aan een bestuur kunnen baat hebben bij een concreet voorbeeld van een tweedelijnsopinie (indien beschikbaar, geanonimiseerd) als aanvullend materiaal.</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Ken je een strategisch besluit in jouw organisatie waarvan de onderliggende risico's pas ná het besluit, tijdens de uitvoering, aan het licht kwamen?</w:t>
      </w:r>
    </w:p>
    <w:p>
      <w:pPr>
        <w:pStyle w:val="ListParagraph"/>
        <w:numPr>
          <w:ilvl w:val="0"/>
          <w:numId w:val="2"/>
        </w:numPr>
        <w:spacing w:after="100" w:line="280"/>
      </w:pPr>
      <w:r>
        <w:rPr>
          <w:rFonts w:ascii="Calibri" w:cs="Calibri" w:eastAsia="Calibri" w:hAnsi="Calibri"/>
          <w:color w:val="1A1A1A"/>
          <w:sz w:val="21"/>
          <w:szCs w:val="21"/>
        </w:rPr>
        <w:t xml:space="preserve">Wanneer heb jij voor het laatst een advies gegeven dat, achteraf bezien, decoratie bleek te zijn geweest? Wat had dat kunnen voorkomen?</w:t>
      </w:r>
    </w:p>
    <w:p>
      <w:pPr>
        <w:pStyle w:val="ListParagraph"/>
        <w:numPr>
          <w:ilvl w:val="0"/>
          <w:numId w:val="2"/>
        </w:numPr>
        <w:spacing w:after="100" w:line="280"/>
      </w:pPr>
      <w:r>
        <w:rPr>
          <w:rFonts w:ascii="Calibri" w:cs="Calibri" w:eastAsia="Calibri" w:hAnsi="Calibri"/>
          <w:color w:val="1A1A1A"/>
          <w:sz w:val="21"/>
          <w:szCs w:val="21"/>
        </w:rPr>
        <w:t xml:space="preserve">Hoe zou je in jouw organisatie kunnen vaststellen of adviezen van een tweedelijnsfunctie daadwerkelijk worden meegewogen, in plaats van alleen genoteerd?</w:t>
      </w:r>
    </w:p>
    <w:p>
      <w:pPr>
        <w:pStyle w:val="Heading2"/>
        <w:spacing w:after="160" w:before="360"/>
      </w:pPr>
      <w:r>
        <w:rPr>
          <w:rFonts w:ascii="Calibri" w:cs="Calibri" w:eastAsia="Calibri" w:hAnsi="Calibri"/>
          <w:b/>
          <w:bCs/>
          <w:color w:val="2C5AA0"/>
          <w:sz w:val="26"/>
          <w:szCs w:val="26"/>
        </w:rPr>
        <w:t xml:space="preserve">Antwoordmodel voor de moeilijkste bespreking (opdracht 24.3)</w:t>
      </w:r>
    </w:p>
    <w:p>
      <w:pPr>
        <w:spacing w:after="180" w:line="300"/>
        <w:jc w:val="both"/>
      </w:pPr>
      <w:r>
        <w:rPr>
          <w:rFonts w:ascii="Calibri" w:cs="Calibri" w:eastAsia="Calibri" w:hAnsi="Calibri"/>
          <w:color w:val="1A1A1A"/>
          <w:sz w:val="21"/>
          <w:szCs w:val="21"/>
        </w:rPr>
        <w:t xml:space="preserve">Deelnemers concluderen bij scenario a soms dat het bestuur ‘toch niet heeft geluisterd’ omdat het op één punt afwijkt, en beoordelen dit als een mislukt advies. Corrigeer dit expliciet: afwijken mét motivering is een teken van een gezond, functionerend adviesproces, niet van een falend advies. Vraag door: wat zou een advies waar het bestuur altijd, zonder uitzondering, in meegaat, eigenlijk betekenen? Mogelijk antwoord: dat zou juist verdacht kunnen zijn — een teken dat het bestuur zijn eigen verantwoordelijkheid niet neemt, of dat de sleutelfunctiehouder de facto beslissingsmacht heeft overgenomen (een schending van Kernzin 6, deel 9, niveau 1). Het gezonde patroon is niet 100% instemming, maar 100% aantoonbare weging.</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Het stroomschema (Figuur 24-1) als centraal visueel hulpmiddel.</w:t>
      </w:r>
    </w:p>
    <w:p>
      <w:pPr>
        <w:pStyle w:val="ListParagraph"/>
        <w:numPr>
          <w:ilvl w:val="0"/>
          <w:numId w:val="2"/>
        </w:numPr>
        <w:spacing w:after="100" w:line="280"/>
      </w:pPr>
      <w:r>
        <w:rPr>
          <w:rFonts w:ascii="Calibri" w:cs="Calibri" w:eastAsia="Calibri" w:hAnsi="Calibri"/>
          <w:color w:val="1A1A1A"/>
          <w:sz w:val="21"/>
          <w:szCs w:val="21"/>
        </w:rPr>
        <w:t xml:space="preserve">Een kort, geanonimiseerd voorbeeld van een tweedelijnsopinie (indien beschikbaar) als illustratiemateriaal.</w:t>
      </w:r>
    </w:p>
    <w:p>
      <w:pPr>
        <w:pStyle w:val="Heading2"/>
        <w:spacing w:after="160" w:before="360"/>
      </w:pPr>
      <w:r>
        <w:rPr>
          <w:rFonts w:ascii="Calibri" w:cs="Calibri" w:eastAsia="Calibri" w:hAnsi="Calibri"/>
          <w:b/>
          <w:bCs/>
          <w:color w:val="2C5AA0"/>
          <w:sz w:val="26"/>
          <w:szCs w:val="26"/>
        </w:rPr>
        <w:t xml:space="preserve">Aansluiting op deel 25</w:t>
      </w:r>
    </w:p>
    <w:p>
      <w:pPr>
        <w:spacing w:after="180" w:line="300"/>
        <w:jc w:val="both"/>
      </w:pPr>
      <w:r>
        <w:rPr>
          <w:rFonts w:ascii="Calibri" w:cs="Calibri" w:eastAsia="Calibri" w:hAnsi="Calibri"/>
          <w:color w:val="1A1A1A"/>
          <w:sz w:val="21"/>
          <w:szCs w:val="21"/>
        </w:rPr>
        <w:t xml:space="preserve">Sluit af met: Sanne's advies raakte de strategische laag. Deel 25 daalt af naar de operationele laag — en introduceert daarbij, voor het eerst, de externe pensioenadministrateur waaraan Meridiaan haar mutatieverwerking heeft uitbesteed. Dit is geen toevallige keuze: het is het eerste concrete materiaal voor de masterproef aan het eind van dit niveau.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2026-08-17T06:51:33.588Z</dcterms:created>
  <dcterms:modified xsi:type="dcterms:W3CDTF">2026-08-17T06:51:33.589Z</dcterms:modified>
</cp:coreProperties>
</file>

<file path=docProps/custom.xml><?xml version="1.0" encoding="utf-8"?>
<Properties xmlns="http://schemas.openxmlformats.org/officeDocument/2006/custom-properties" xmlns:vt="http://schemas.openxmlformats.org/officeDocument/2006/docPropsVTypes"/>
</file>