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25 — Operationeel risico</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25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introduceert Verantis Pensioenadministratie B.V. — een naam die pas in deel 30 (de masterproef) haar volle betekenis krijgt. Behandel de introductie hier bewust neutraal en feitelijk: er gaat op dit moment niets mis bij Verantis. Het punt van dit deel is dat een goede sleutelfunctiehouder risico's in kaart brengt vóórdat ze zich voordoen, niet pas erna — laat deelnemers dat besef zelf opbouwen in plaats van het te forceren met dramatische toon.</w:t>
      </w:r>
    </w:p>
    <w:p>
      <w:pPr>
        <w:spacing w:after="180" w:line="300"/>
        <w:jc w:val="both"/>
      </w:pPr>
      <w:r>
        <w:rPr>
          <w:rFonts w:ascii="Calibri" w:cs="Calibri" w:eastAsia="Calibri" w:hAnsi="Calibri"/>
          <w:color w:val="1A1A1A"/>
          <w:sz w:val="21"/>
          <w:szCs w:val="21"/>
        </w:rPr>
        <w:t xml:space="preserve">Dit deel is ook het moment waarop bijna alle eerdere delen van de cursus zichtbaar samenkomen onder één ordenende taxonomie (paragraaf 25.2) — gebruik dat om deelnemers een gevoel van overzicht te geven over hoe breed het vak inmiddels is opgebouwd.</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operationeel risico definiëren en afbakenen ten opzichte van IT-risico en strategisch risico</w:t>
      </w:r>
    </w:p>
    <w:p>
      <w:pPr>
        <w:pStyle w:val="ListParagraph"/>
        <w:numPr>
          <w:ilvl w:val="0"/>
          <w:numId w:val="2"/>
        </w:numPr>
        <w:spacing w:after="100" w:line="280"/>
      </w:pPr>
      <w:r>
        <w:rPr>
          <w:rFonts w:ascii="Calibri" w:cs="Calibri" w:eastAsia="Calibri" w:hAnsi="Calibri"/>
          <w:color w:val="1A1A1A"/>
          <w:sz w:val="21"/>
          <w:szCs w:val="21"/>
        </w:rPr>
        <w:t xml:space="preserve">de zeven categorieën verliesgebeurtenissen toepassen op een gegeven situatie</w:t>
      </w:r>
    </w:p>
    <w:p>
      <w:pPr>
        <w:pStyle w:val="ListParagraph"/>
        <w:numPr>
          <w:ilvl w:val="0"/>
          <w:numId w:val="2"/>
        </w:numPr>
        <w:spacing w:after="100" w:line="280"/>
      </w:pPr>
      <w:r>
        <w:rPr>
          <w:rFonts w:ascii="Calibri" w:cs="Calibri" w:eastAsia="Calibri" w:hAnsi="Calibri"/>
          <w:color w:val="1A1A1A"/>
          <w:sz w:val="21"/>
          <w:szCs w:val="21"/>
        </w:rPr>
        <w:t xml:space="preserve">het verschil tussen project- en ondernemingsniveau-KRI's uitleggen</w:t>
      </w:r>
    </w:p>
    <w:p>
      <w:pPr>
        <w:pStyle w:val="ListParagraph"/>
        <w:numPr>
          <w:ilvl w:val="0"/>
          <w:numId w:val="2"/>
        </w:numPr>
        <w:spacing w:after="100" w:line="280"/>
      </w:pPr>
      <w:r>
        <w:rPr>
          <w:rFonts w:ascii="Calibri" w:cs="Calibri" w:eastAsia="Calibri" w:hAnsi="Calibri"/>
          <w:color w:val="1A1A1A"/>
          <w:sz w:val="21"/>
          <w:szCs w:val="21"/>
        </w:rPr>
        <w:t xml:space="preserve">Kernzin 18 toepassen en artikel 34 Pensioenwet correct samenvatten</w:t>
      </w:r>
    </w:p>
    <w:p>
      <w:pPr>
        <w:pStyle w:val="ListParagraph"/>
        <w:numPr>
          <w:ilvl w:val="0"/>
          <w:numId w:val="2"/>
        </w:numPr>
        <w:spacing w:after="100" w:line="280"/>
      </w:pPr>
      <w:r>
        <w:rPr>
          <w:rFonts w:ascii="Calibri" w:cs="Calibri" w:eastAsia="Calibri" w:hAnsi="Calibri"/>
          <w:color w:val="1A1A1A"/>
          <w:sz w:val="21"/>
          <w:szCs w:val="21"/>
        </w:rPr>
        <w:t xml:space="preserve">ketenrisico en sub-uitbesteding identificeren, verder dan directe leveranciersrisico's</w:t>
      </w:r>
    </w:p>
    <w:p>
      <w:pPr>
        <w:pStyle w:val="ListParagraph"/>
        <w:numPr>
          <w:ilvl w:val="0"/>
          <w:numId w:val="2"/>
        </w:numPr>
        <w:spacing w:after="100" w:line="280"/>
      </w:pPr>
      <w:r>
        <w:rPr>
          <w:rFonts w:ascii="Calibri" w:cs="Calibri" w:eastAsia="Calibri" w:hAnsi="Calibri"/>
          <w:color w:val="1A1A1A"/>
          <w:sz w:val="21"/>
          <w:szCs w:val="21"/>
        </w:rPr>
        <w:t xml:space="preserve">concentratierisico op ondernemingsniveau herkennen, ook wanneer het achter schijnbaar gescheiden diensten schuilgaat</w:t>
      </w:r>
    </w:p>
    <w:p>
      <w:pPr>
        <w:pStyle w:val="ListParagraph"/>
        <w:numPr>
          <w:ilvl w:val="0"/>
          <w:numId w:val="2"/>
        </w:numPr>
        <w:spacing w:after="100" w:line="280"/>
      </w:pPr>
      <w:r>
        <w:rPr>
          <w:rFonts w:ascii="Calibri" w:cs="Calibri" w:eastAsia="Calibri" w:hAnsi="Calibri"/>
          <w:color w:val="1A1A1A"/>
          <w:sz w:val="21"/>
          <w:szCs w:val="21"/>
        </w:rPr>
        <w:t xml:space="preserve">het begrip BCM toepassen op een uitbestede kritieke activiteit</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Introductie Verantis, neutrale toon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0:15–0:35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Operationeel risico gedefinieerd, afbakening</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5–7</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0:35–1:00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Zeven categorieën verliesgebeurtenissen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8–10</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1:00–1:20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Opdracht 25.1</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dan plenair</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1:20–1:35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1:35–1:50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KRI's op ondernemingsniveau</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 11</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1:50–2:20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Artikel 34 Pw, Kernzin 18, opdracht 25.2</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12–15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2:20–2:35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2:35–3:05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Ketenrisico en concentratierisico, opdracht 25.3</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16–19</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3:05–3:20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BCM, het geïdentificeerde hiaat</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 20</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3:20–3:30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26</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 21</w:t>
            </w:r>
          </w:p>
        </w:tc>
      </w:tr>
    </w:tbl>
    <w:p>
      <w:pPr>
        <w:spacing w:after="180" w:line="300"/>
        <w:jc w:val="both"/>
      </w:pPr>
      <w:r>
        <w:rPr>
          <w:rFonts w:ascii="Calibri" w:cs="Calibri" w:eastAsia="Calibri" w:hAnsi="Calibri"/>
          <w:color w:val="1A1A1A"/>
          <w:sz w:val="21"/>
          <w:szCs w:val="21"/>
        </w:rPr>
        <w:t xml:space="preserve">Huiswerk voor deel 26: geen nieuwe formele opdracht; vraag deelnemers zich voor te bereiden met een korte lijst vragen die zij, als niet-actuaris, aan een actuaris zouden willen stellen over een gegeven risicomodel — dit materiaal wordt in deel 26 gebruikt.</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Verantis te dramatisch introduceren, met voorafschaduwing van de masterproef. Weersta de verleiding om te veel te ‘verklappen’. Het punt van dit deel is juist dat er nog niets misgaat — de zorgvuldigheid ontstaat uit voorzichtigheid, niet uit paniek.</w:t>
      </w:r>
    </w:p>
    <w:p>
      <w:pPr>
        <w:pStyle w:val="ListParagraph"/>
        <w:numPr>
          <w:ilvl w:val="0"/>
          <w:numId w:val="2"/>
        </w:numPr>
        <w:spacing w:after="100" w:line="280"/>
      </w:pPr>
      <w:r>
        <w:rPr>
          <w:rFonts w:ascii="Calibri" w:cs="Calibri" w:eastAsia="Calibri" w:hAnsi="Calibri"/>
          <w:color w:val="1A1A1A"/>
          <w:sz w:val="21"/>
          <w:szCs w:val="21"/>
        </w:rPr>
        <w:t xml:space="preserve">De zeven categorieën als volledig nieuw materiaal presenteren. Ze zijn een ordenende laag over materiaal dat deelnemers grotendeels al kennen. Gebruik opdracht 25.1 om te laten zien dat vrijwel elk eerder risico uit de cursus in een van deze categorieën past.</w:t>
      </w:r>
    </w:p>
    <w:p>
      <w:pPr>
        <w:pStyle w:val="ListParagraph"/>
        <w:numPr>
          <w:ilvl w:val="0"/>
          <w:numId w:val="2"/>
        </w:numPr>
        <w:spacing w:after="100" w:line="280"/>
      </w:pPr>
      <w:r>
        <w:rPr>
          <w:rFonts w:ascii="Calibri" w:cs="Calibri" w:eastAsia="Calibri" w:hAnsi="Calibri"/>
          <w:color w:val="1A1A1A"/>
          <w:sz w:val="21"/>
          <w:szCs w:val="21"/>
        </w:rPr>
        <w:t xml:space="preserve">Artikel 34 Pw te juridisch-technisch uitdiepen. De kern (verantwoordelijkheid blijft bij de uitvoerder) is wat telt voor dit vak; ga niet in op alle uitzonderingen en nadere regelgeving rond uitbesteding, die het bestek van deze cursus te buiten gaan.</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Deelnemers met ervaring in inkoop, contractmanagement, of leveranciersbeheer herkennen ketenrisico en sub-uitbesteding snel, en kunnen waardevolle praktijkvoorbeelden inbrengen bij opdracht 25.3.</w:t>
      </w:r>
    </w:p>
    <w:p>
      <w:pPr>
        <w:spacing w:after="180" w:line="300"/>
        <w:jc w:val="both"/>
      </w:pPr>
      <w:r>
        <w:rPr>
          <w:rFonts w:ascii="Calibri" w:cs="Calibri" w:eastAsia="Calibri" w:hAnsi="Calibri"/>
          <w:color w:val="1A1A1A"/>
          <w:sz w:val="21"/>
          <w:szCs w:val="21"/>
        </w:rPr>
        <w:t xml:space="preserve">Deelnemers met een compliance- of juridische achtergrond kunnen artikel 34 Pw preciezer toelichten dan deze cursus zelf doet — nodig hen uit aanvullingen te geven, met de kanttekening dat de cursus zich tot de kern beperkt.</w:t>
      </w:r>
    </w:p>
    <w:p>
      <w:pPr>
        <w:spacing w:after="180" w:line="300"/>
        <w:jc w:val="both"/>
      </w:pPr>
      <w:r>
        <w:rPr>
          <w:rFonts w:ascii="Calibri" w:cs="Calibri" w:eastAsia="Calibri" w:hAnsi="Calibri"/>
          <w:color w:val="1A1A1A"/>
          <w:sz w:val="21"/>
          <w:szCs w:val="21"/>
        </w:rPr>
        <w:t xml:space="preserve">Deelnemers die zelf al met een BCM-plan werken: vraag hen naar hoe hun eigen BCM-plan omgaat met uitbestede, niet zelf beheerde processen — vaak blijkt dit, net als bij Meridiaan, een onderbelicht gebied.</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Heeft jouw organisatie een actueel overzicht van alle kritieke, uitbestede processen, inclusief de sub-uitbesteding daarachter?</w:t>
      </w:r>
    </w:p>
    <w:p>
      <w:pPr>
        <w:pStyle w:val="ListParagraph"/>
        <w:numPr>
          <w:ilvl w:val="0"/>
          <w:numId w:val="2"/>
        </w:numPr>
        <w:spacing w:after="100" w:line="280"/>
      </w:pPr>
      <w:r>
        <w:rPr>
          <w:rFonts w:ascii="Calibri" w:cs="Calibri" w:eastAsia="Calibri" w:hAnsi="Calibri"/>
          <w:color w:val="1A1A1A"/>
          <w:sz w:val="21"/>
          <w:szCs w:val="21"/>
        </w:rPr>
        <w:t xml:space="preserve">Ken je een voorbeeld waarin ‘we hebben het uitbesteed’ in de praktijk werd gebruikt als excuus om minder aandacht aan een risico te besteden?</w:t>
      </w:r>
    </w:p>
    <w:p>
      <w:pPr>
        <w:pStyle w:val="ListParagraph"/>
        <w:numPr>
          <w:ilvl w:val="0"/>
          <w:numId w:val="2"/>
        </w:numPr>
        <w:spacing w:after="100" w:line="280"/>
      </w:pPr>
      <w:r>
        <w:rPr>
          <w:rFonts w:ascii="Calibri" w:cs="Calibri" w:eastAsia="Calibri" w:hAnsi="Calibri"/>
          <w:color w:val="1A1A1A"/>
          <w:sz w:val="21"/>
          <w:szCs w:val="21"/>
        </w:rPr>
        <w:t xml:space="preserve">Bestaat er in jouw organisatie een uitwijkplan voor het geval een kritieke externe partij zelf een langdurige verstoring ondervindt?</w:t>
      </w:r>
    </w:p>
    <w:p>
      <w:pPr>
        <w:pStyle w:val="Heading2"/>
        <w:spacing w:after="160" w:before="360"/>
      </w:pPr>
      <w:r>
        <w:rPr>
          <w:rFonts w:ascii="Calibri" w:cs="Calibri" w:eastAsia="Calibri" w:hAnsi="Calibri"/>
          <w:b/>
          <w:bCs/>
          <w:color w:val="2C5AA0"/>
          <w:sz w:val="26"/>
          <w:szCs w:val="26"/>
        </w:rPr>
        <w:t xml:space="preserve">Antwoordmodel voor de moeilijkste bespreking (opdracht 25.2)</w:t>
      </w:r>
    </w:p>
    <w:p>
      <w:pPr>
        <w:spacing w:after="180" w:line="300"/>
        <w:jc w:val="both"/>
      </w:pPr>
      <w:r>
        <w:rPr>
          <w:rFonts w:ascii="Calibri" w:cs="Calibri" w:eastAsia="Calibri" w:hAnsi="Calibri"/>
          <w:color w:val="1A1A1A"/>
          <w:sz w:val="21"/>
          <w:szCs w:val="21"/>
        </w:rPr>
        <w:t xml:space="preserve">Deelnemers die zelf met uitbesteding werken, herkennen de denkfout uit opdracht 25.2 vaak uit eigen ervaring, maar hebben soms moeite het gevoel van ‘wij hebben er toch een contract voor’ los te laten. Vraag door: stel dat Verantis morgen failliet gaat — wie is er dan verantwoordelijk richting de werkgevers en deelnemers van Meridiaan? Het antwoord is ondubbelzinnig: Meridiaan, niet Verantis (die simpelweg niet meer bestaat). Dit maakt tastbaar wat artikel 34 Pw abstract bepaalt: de verantwoordelijkheid was nooit weg, ze was alleen tijdelijk minder zichtbaar zolang alles goed ging.</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De zeven-categorieën-tabel (paragraaf 25.2) als uitdeelblad voor opdracht 25.1.</w:t>
      </w:r>
    </w:p>
    <w:p>
      <w:pPr>
        <w:pStyle w:val="ListParagraph"/>
        <w:numPr>
          <w:ilvl w:val="0"/>
          <w:numId w:val="2"/>
        </w:numPr>
        <w:spacing w:after="100" w:line="280"/>
      </w:pPr>
      <w:r>
        <w:rPr>
          <w:rFonts w:ascii="Calibri" w:cs="Calibri" w:eastAsia="Calibri" w:hAnsi="Calibri"/>
          <w:color w:val="1A1A1A"/>
          <w:sz w:val="21"/>
          <w:szCs w:val="21"/>
        </w:rPr>
        <w:t xml:space="preserve">Een eenvoudig ketendiagram (Meridiaan → Verantis → dochteronderneming) voor de uitleg van sub-uitbesteding in paragraaf 25.4-25.5.</w:t>
      </w:r>
    </w:p>
    <w:p>
      <w:pPr>
        <w:pStyle w:val="Heading2"/>
        <w:spacing w:after="160" w:before="360"/>
      </w:pPr>
      <w:r>
        <w:rPr>
          <w:rFonts w:ascii="Calibri" w:cs="Calibri" w:eastAsia="Calibri" w:hAnsi="Calibri"/>
          <w:b/>
          <w:bCs/>
          <w:color w:val="2C5AA0"/>
          <w:sz w:val="26"/>
          <w:szCs w:val="26"/>
        </w:rPr>
        <w:t xml:space="preserve">Aansluiting op deel 26</w:t>
      </w:r>
    </w:p>
    <w:p>
      <w:pPr>
        <w:spacing w:after="180" w:line="300"/>
        <w:jc w:val="both"/>
      </w:pPr>
      <w:r>
        <w:rPr>
          <w:rFonts w:ascii="Calibri" w:cs="Calibri" w:eastAsia="Calibri" w:hAnsi="Calibri"/>
          <w:color w:val="1A1A1A"/>
          <w:sz w:val="21"/>
          <w:szCs w:val="21"/>
        </w:rPr>
        <w:t xml:space="preserve">Sluit af met: operationeel risico is nu goed in kaart, inclusief het Verantis-hiaat. Deel 26 gaat over een heel ander soort risico — financieel risico, waar Sanne, als niet-actuaris, moet leren de juiste vragen te stellen zonder de onderliggende berekeningen zelf te kunnen maken.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2026-08-17T06:54:42.404Z</dcterms:created>
  <dcterms:modified xsi:type="dcterms:W3CDTF">2026-08-17T06:54:42.405Z</dcterms:modified>
</cp:coreProperties>
</file>

<file path=docProps/custom.xml><?xml version="1.0" encoding="utf-8"?>
<Properties xmlns="http://schemas.openxmlformats.org/officeDocument/2006/custom-properties" xmlns:vt="http://schemas.openxmlformats.org/officeDocument/2006/docPropsVTypes"/>
</file>