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25 — Operationeel risico</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25 — Operationeel risico</w:t>
      </w:r>
    </w:p>
    <w:p>
      <w:pPr>
        <w:pStyle w:val="Heading2"/>
        <w:spacing w:after="160" w:before="360"/>
      </w:pPr>
      <w:r>
        <w:rPr>
          <w:rFonts w:ascii="Calibri" w:cs="Calibri" w:eastAsia="Calibri" w:hAnsi="Calibri"/>
          <w:b/>
          <w:bCs/>
          <w:color w:val="2C5AA0"/>
          <w:sz w:val="26"/>
          <w:szCs w:val="26"/>
        </w:rPr>
        <w:t xml:space="preserve">25.0 Een naam die nog terugkomt</w:t>
      </w:r>
    </w:p>
    <w:p>
      <w:pPr>
        <w:spacing w:after="180" w:line="300"/>
        <w:jc w:val="both"/>
      </w:pPr>
      <w:r>
        <w:rPr>
          <w:rFonts w:ascii="Calibri" w:cs="Calibri" w:eastAsia="Calibri" w:hAnsi="Calibri"/>
          <w:color w:val="1A1A1A"/>
          <w:sz w:val="21"/>
          <w:szCs w:val="21"/>
        </w:rPr>
        <w:t xml:space="preserve">Voor de dagelijkse mutatieverwerking van kleinere werkgeversklanten maakt Meridiaan al drie jaar gebruik van Verantis Pensioenadministratie B.V., een externe partij aan wie een deel van de administratieve verwerking is uitbesteed. Dit deel introduceert Verantis voor het eerst — niet omdat er nu al iets misgaat, maar omdat dit precies het soort relatie is waar operationeel risico, uitbesteding en ketenrisico samenkomen, en omdat de vraag ‘wat weten we eigenlijk over de risico's bij Verantis’ nu, in alle rust, beantwoord moet worden.</w:t>
      </w:r>
    </w:p>
    <w:p>
      <w:pPr>
        <w:spacing w:after="180" w:line="300"/>
        <w:jc w:val="both"/>
      </w:pPr>
      <w:r>
        <w:rPr>
          <w:rFonts w:ascii="Calibri" w:cs="Calibri" w:eastAsia="Calibri" w:hAnsi="Calibri"/>
          <w:color w:val="1A1A1A"/>
          <w:sz w:val="21"/>
          <w:szCs w:val="21"/>
        </w:rPr>
        <w:t xml:space="preserve">Onthoud deze naam. Dit deel legt het fundament voor wat er in deel 30 mee gebeurt.</w:t>
      </w:r>
    </w:p>
    <w:p>
      <w:pPr>
        <w:pStyle w:val="Heading2"/>
        <w:spacing w:after="160" w:before="360"/>
      </w:pPr>
      <w:r>
        <w:rPr>
          <w:rFonts w:ascii="Calibri" w:cs="Calibri" w:eastAsia="Calibri" w:hAnsi="Calibri"/>
          <w:b/>
          <w:bCs/>
          <w:color w:val="2C5AA0"/>
          <w:sz w:val="26"/>
          <w:szCs w:val="26"/>
        </w:rPr>
        <w:t xml:space="preserve">25.1 Operationeel risico, gedefinieerd</w:t>
      </w:r>
    </w:p>
    <w:p>
      <w:pPr>
        <w:spacing w:after="180" w:line="300"/>
        <w:jc w:val="both"/>
      </w:pPr>
      <w:r>
        <w:rPr>
          <w:rFonts w:ascii="Calibri" w:cs="Calibri" w:eastAsia="Calibri" w:hAnsi="Calibri"/>
          <w:color w:val="1A1A1A"/>
          <w:sz w:val="21"/>
          <w:szCs w:val="21"/>
        </w:rPr>
        <w:t xml:space="preserve">Operationeel risico is het risico op verlies als gevolg van ontoereikende of falende interne processen, mensen en systemen, of als gevolg van externe gebeurtenissen. Dit is een bredere categorie dan IT- en cyberrisico (deel 18, niveau 2), die er een specifieke, wettelijk verzwaarde deelverzameling van vormt.</w:t>
      </w:r>
    </w:p>
    <w:p>
      <w:pPr>
        <w:spacing w:after="180" w:line="300"/>
        <w:jc w:val="both"/>
      </w:pPr>
      <w:r>
        <w:rPr>
          <w:rFonts w:ascii="Calibri" w:cs="Calibri" w:eastAsia="Calibri" w:hAnsi="Calibri"/>
          <w:color w:val="1A1A1A"/>
          <w:sz w:val="21"/>
          <w:szCs w:val="21"/>
        </w:rPr>
        <w:t xml:space="preserve">Het onderscheid met strategisch risico (deel 24) is nu concreet: operationeel risico raakt de dagelijkse uitvoering, niet de koers. Het onderscheid met IT-risico specifiek: operationeel risico omvat ook niet-digitale verliesoorzaken — een menselijke fout, een onvolledig getrainde medewerker, een leverancier die zijn contract niet nakomt.</w:t>
      </w:r>
    </w:p>
    <w:p>
      <w:pPr>
        <w:pStyle w:val="Heading2"/>
        <w:spacing w:after="160" w:before="360"/>
      </w:pPr>
      <w:r>
        <w:rPr>
          <w:rFonts w:ascii="Calibri" w:cs="Calibri" w:eastAsia="Calibri" w:hAnsi="Calibri"/>
          <w:b/>
          <w:bCs/>
          <w:color w:val="2C5AA0"/>
          <w:sz w:val="26"/>
          <w:szCs w:val="26"/>
        </w:rPr>
        <w:t xml:space="preserve">25.2 Een taxonomie van verliesgebeurtenissen</w:t>
      </w:r>
    </w:p>
    <w:p>
      <w:pPr>
        <w:spacing w:after="180" w:line="300"/>
        <w:jc w:val="both"/>
      </w:pPr>
      <w:r>
        <w:rPr>
          <w:rFonts w:ascii="Calibri" w:cs="Calibri" w:eastAsia="Calibri" w:hAnsi="Calibri"/>
          <w:color w:val="1A1A1A"/>
          <w:sz w:val="21"/>
          <w:szCs w:val="21"/>
        </w:rPr>
        <w:t xml:space="preserve">Om operationeel risico systematisch te identificeren, gebruikt deze cursus een taxonomie die vergelijkbaar is met wat in de sector gangbaar is (afgeleid van de brede indeling die ook onder Basel/Solvency II-achtige kaders wordt gehanteerd):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3740"/>
        <w:gridCol w:w="5610"/>
      </w:tblGrid>
      <w:tr>
        <w:trPr>
          <w:tblHeader/>
        </w:trPr>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Categorie</w:t>
            </w:r>
          </w:p>
        </w:tc>
        <w:tc>
          <w:tcPr>
            <w:tcW w:type="pct" w:w="6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Voorbeeld bij Meridiaan</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Interne fraude</w:t>
            </w:r>
          </w:p>
        </w:tc>
        <w:tc>
          <w:tcPr>
            <w:tcW w:type="pct" w:w="6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Een medewerker wijzigt bewust onjuist een uitkeringsbedrag</w:t>
            </w:r>
          </w:p>
        </w:tc>
      </w:tr>
      <w:tr>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Externe fraude</w:t>
            </w:r>
          </w:p>
        </w:tc>
        <w:tc>
          <w:tcPr>
            <w:tcW w:type="pct" w:w="6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Een derde partij dient een frauduleuze mutatie in namens een fictieve werkgever</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Arbeidsrelaties en werkplekveiligheid</w:t>
            </w:r>
          </w:p>
        </w:tc>
        <w:tc>
          <w:tcPr>
            <w:tcW w:type="pct" w:w="6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Onderbezetting door langdurig verzuim in een kritieke functie</w:t>
            </w:r>
          </w:p>
        </w:tc>
      </w:tr>
      <w:tr>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Klanten, producten en bedrijfspraktijken</w:t>
            </w:r>
          </w:p>
        </w:tc>
        <w:tc>
          <w:tcPr>
            <w:tcW w:type="pct" w:w="6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Onjuiste advisering, verkeerd geïnterpreteerde regelgeving</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Schade aan fysieke activa</w:t>
            </w:r>
          </w:p>
        </w:tc>
        <w:tc>
          <w:tcPr>
            <w:tcW w:type="pct" w:w="6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Uitval van een serverruimte door een technisch mankement</w:t>
            </w:r>
          </w:p>
        </w:tc>
      </w:tr>
      <w:tr>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Bedrijfsonderbreking en systeemfalen</w:t>
            </w:r>
          </w:p>
        </w:tc>
        <w:tc>
          <w:tcPr>
            <w:tcW w:type="pct" w:w="6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Een storing bij de Verwerkingsengine (deel 11-22, niveau 2)</w:t>
            </w:r>
          </w:p>
        </w:tc>
      </w:tr>
      <w:tr>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Uitvoering, levering en procesmanagement</w:t>
            </w:r>
          </w:p>
        </w:tc>
        <w:tc>
          <w:tcPr>
            <w:tcW w:type="pct" w:w="6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Een verkeerd verwerkte mutatie door een menselijke fout, zónder kwade opzet</w:t>
            </w:r>
          </w:p>
        </w:tc>
      </w:tr>
    </w:tbl>
    <w:p>
      <w:pPr>
        <w:spacing w:after="180" w:line="300"/>
        <w:jc w:val="both"/>
      </w:pPr>
      <w:r>
        <w:rPr>
          <w:rFonts w:ascii="Calibri" w:cs="Calibri" w:eastAsia="Calibri" w:hAnsi="Calibri"/>
          <w:color w:val="1A1A1A"/>
          <w:sz w:val="21"/>
          <w:szCs w:val="21"/>
        </w:rPr>
        <w:t xml:space="preserve">Elke registerregel uit niveau 1 en 2 van deze cursus valt, met terugwerkende kracht bekeken, in een van deze zeven categorieën — wat vooral laat zien dat operationeel risico geen nieuw onderwerp is, maar de ordenende laag waarbinnen bijna alles wat deze cursus tot nu toe heeft behandeld, thuishoort.</w:t>
      </w:r>
    </w:p>
    <w:p>
      <w:pPr>
        <w:pStyle w:val="Heading2"/>
        <w:spacing w:after="160" w:before="360"/>
      </w:pPr>
      <w:r>
        <w:rPr>
          <w:rFonts w:ascii="Calibri" w:cs="Calibri" w:eastAsia="Calibri" w:hAnsi="Calibri"/>
          <w:b/>
          <w:bCs/>
          <w:color w:val="2C5AA0"/>
          <w:sz w:val="26"/>
          <w:szCs w:val="26"/>
        </w:rPr>
        <w:t xml:space="preserve">25.3 KRI's op ondernemingsniveau</w:t>
      </w:r>
    </w:p>
    <w:p>
      <w:pPr>
        <w:spacing w:after="180" w:line="300"/>
        <w:jc w:val="both"/>
      </w:pPr>
      <w:r>
        <w:rPr>
          <w:rFonts w:ascii="Calibri" w:cs="Calibri" w:eastAsia="Calibri" w:hAnsi="Calibri"/>
          <w:color w:val="1A1A1A"/>
          <w:sz w:val="21"/>
          <w:szCs w:val="21"/>
        </w:rPr>
        <w:t xml:space="preserve">In deel 8 (niveau 1) werden KRI's geïntroduceerd op het niveau van één risico in één project. Op ondernemingsniveau worden KRI's geaggregeerd tot een beperkte set, elk gekoppeld aan een van de zeven categorieën uit 25.2 — bijvoorbeeld: aantal fraudesignalen per kwartaal, gemiddelde hersteltijd bij systeemstoringen, percentage mutaties dat door een externe partij wordt verwerkt zonder eigen validatieslag. Deze ondernemingsbrede KRI's zijn minder gedetailleerd dan hun projectniveau-tegenhangers, maar geven het bestuur en de sleutelfunctiehouder een continu beeld zonder in elk afzonderlijk risico te hoeven duiken — de directe operationalisering van ‘geven heldere richting’, het vierde M_o_R-principe (deel 11, niveau 2), nu op ondernemingsschaal.</w:t>
      </w:r>
    </w:p>
    <w:p>
      <w:pPr>
        <w:pStyle w:val="Heading2"/>
        <w:spacing w:after="160" w:before="360"/>
      </w:pPr>
      <w:r>
        <w:rPr>
          <w:rFonts w:ascii="Calibri" w:cs="Calibri" w:eastAsia="Calibri" w:hAnsi="Calibri"/>
          <w:b/>
          <w:bCs/>
          <w:color w:val="2C5AA0"/>
          <w:sz w:val="26"/>
          <w:szCs w:val="26"/>
        </w:rPr>
        <w:t xml:space="preserve">25.4 Uitbesteding en ketenrisico</w:t>
      </w:r>
    </w:p>
    <w:p>
      <w:pPr>
        <w:spacing w:after="180" w:line="300"/>
        <w:jc w:val="both"/>
      </w:pPr>
      <w:r>
        <w:rPr>
          <w:rFonts w:ascii="Calibri" w:cs="Calibri" w:eastAsia="Calibri" w:hAnsi="Calibri"/>
          <w:color w:val="1A1A1A"/>
          <w:sz w:val="21"/>
          <w:szCs w:val="21"/>
        </w:rPr>
        <w:t xml:space="preserve">Hier komt Verantis terug. Artikel 34 Pensioenwet staat uitbesteding toe, onder voorwaarden — maar met een kernbepaling die scherper is dan vaak wordt aangenomen: uitbesteding mag de verantwoordelijkheid van de pensioenuitvoerder voor de organisatie en beheersing van de bedrijfsprocessen, of het toezicht daarop, niet ondermijnen. Met andere woorden: Meridiaan blijft, ook na uitbesteding aan Verantis, volledig verantwoordelijk voor wat er bij Verantis gebeurt.</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18</w:t>
            </w:r>
          </w:p>
          <w:p>
            <w:r>
              <w:rPr>
                <w:rFonts w:ascii="Calibri" w:cs="Calibri" w:eastAsia="Calibri" w:hAnsi="Calibri"/>
                <w:b/>
                <w:bCs/>
                <w:i/>
                <w:iCs/>
                <w:color w:val="1B2A4A"/>
                <w:sz w:val="22"/>
                <w:szCs w:val="22"/>
              </w:rPr>
              <w:t xml:space="preserve">Uitbesteden verplaatst het werk, nooit de verantwoordelijkheid — de wet zegt dat met zoveel woorden, en het bestuur vergeet het zodra het ongemakkelijk wordt.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is geen abstracte juridische bepaling — het heeft directe consequenties voor hoe Sanne, als sleutelfunctiehouder, naar de relatie met Verantis moet kijken:</w:t>
      </w:r>
    </w:p>
    <w:p>
      <w:pPr>
        <w:spacing w:after="180" w:line="300"/>
        <w:jc w:val="both"/>
      </w:pPr>
      <w:r>
        <w:rPr>
          <w:rFonts w:ascii="Calibri" w:cs="Calibri" w:eastAsia="Calibri" w:hAnsi="Calibri"/>
          <w:b/>
          <w:bCs/>
          <w:color w:val="1B2A4A"/>
          <w:sz w:val="21"/>
          <w:szCs w:val="21"/>
        </w:rPr>
        <w:t xml:space="preserve">Ketenrisico identificeren, niet alleen leveranciersrisico.</w:t>
      </w:r>
      <w:r>
        <w:rPr>
          <w:rFonts w:ascii="Calibri" w:cs="Calibri" w:eastAsia="Calibri" w:hAnsi="Calibri"/>
          <w:color w:val="1A1A1A"/>
          <w:sz w:val="21"/>
          <w:szCs w:val="21"/>
        </w:rPr>
        <w:t xml:space="preserve"> Waar deel 6 (niveau 1) en deel 13 (niveau 2) leveranciersrisico al behandelden op project- en programmaniveau, vraagt de wettelijke verantwoordelijkheidsstructuur onder artikel 34 Pw op ondernemingsniveau een verdergaande vraag: niet alleen ‘wat als Verantis faalt’, maar ‘wat gebeurt er dieper in de keten die Verantis zelf weer gebruikt’ — sub-uitbesteding, waarbij Verantis op haar beurt weer diensten van derden afneemt.</w:t>
      </w:r>
    </w:p>
    <w:p>
      <w:pPr>
        <w:spacing w:after="180" w:line="300"/>
        <w:jc w:val="both"/>
      </w:pPr>
      <w:r>
        <w:rPr>
          <w:rFonts w:ascii="Calibri" w:cs="Calibri" w:eastAsia="Calibri" w:hAnsi="Calibri"/>
          <w:b/>
          <w:bCs/>
          <w:color w:val="1B2A4A"/>
          <w:sz w:val="21"/>
          <w:szCs w:val="21"/>
        </w:rPr>
        <w:t xml:space="preserve">Toezicht op de uitbestede activiteit, niet alleen op het contract.</w:t>
      </w:r>
      <w:r>
        <w:rPr>
          <w:rFonts w:ascii="Calibri" w:cs="Calibri" w:eastAsia="Calibri" w:hAnsi="Calibri"/>
          <w:color w:val="1A1A1A"/>
          <w:sz w:val="21"/>
          <w:szCs w:val="21"/>
        </w:rPr>
        <w:t xml:space="preserve"> Een goed contract met Verantis (SLA's, boeteclausules) is nodig maar niet voldoende — Meridiaan moet aantoonbaar zicht houden op de daadwerkelijke uitvoering, vergelijkbaar met de werkingseffectiviteitstoets uit deel 16 (niveau 2): het contract is de opzet, de feitelijke uitvoering is de werking.</w:t>
      </w:r>
    </w:p>
    <w:p>
      <w:pPr>
        <w:spacing w:after="180" w:line="300"/>
        <w:jc w:val="both"/>
      </w:pPr>
      <w:r>
        <w:rPr>
          <w:rFonts w:ascii="Calibri" w:cs="Calibri" w:eastAsia="Calibri" w:hAnsi="Calibri"/>
          <w:b/>
          <w:bCs/>
          <w:color w:val="1B2A4A"/>
          <w:sz w:val="21"/>
          <w:szCs w:val="21"/>
        </w:rPr>
        <w:t xml:space="preserve">Concentratierisico op ondernemingsniveau</w:t>
      </w:r>
      <w:r>
        <w:rPr>
          <w:rFonts w:ascii="Calibri" w:cs="Calibri" w:eastAsia="Calibri" w:hAnsi="Calibri"/>
          <w:color w:val="1A1A1A"/>
          <w:sz w:val="21"/>
          <w:szCs w:val="21"/>
        </w:rPr>
        <w:t xml:space="preserve"> (uitbreiding van deel 17, niveau 2): hoeveel van Meridiaans kritieke processen zijn, in totaal, bij externe partijen belegd, en hoeveel daarvan bij dezelfde of onderling verbonden partijen?</w:t>
      </w:r>
    </w:p>
    <w:p>
      <w:pPr>
        <w:pStyle w:val="Heading2"/>
        <w:spacing w:after="160" w:before="360"/>
      </w:pPr>
      <w:r>
        <w:rPr>
          <w:rFonts w:ascii="Calibri" w:cs="Calibri" w:eastAsia="Calibri" w:hAnsi="Calibri"/>
          <w:b/>
          <w:bCs/>
          <w:color w:val="2C5AA0"/>
          <w:sz w:val="26"/>
          <w:szCs w:val="26"/>
        </w:rPr>
        <w:t xml:space="preserve">25.5 Concentratierisico, ondernemingsbreed</w:t>
      </w:r>
    </w:p>
    <w:p>
      <w:pPr>
        <w:spacing w:after="180" w:line="300"/>
        <w:jc w:val="both"/>
      </w:pPr>
      <w:r>
        <w:rPr>
          <w:rFonts w:ascii="Calibri" w:cs="Calibri" w:eastAsia="Calibri" w:hAnsi="Calibri"/>
          <w:color w:val="1A1A1A"/>
          <w:sz w:val="21"/>
          <w:szCs w:val="21"/>
        </w:rPr>
        <w:t xml:space="preserve">In deel 17 (niveau 2) werd concentratierisico geïntroduceerd binnen de grenzen van het Mutatieplatform-programma. Op ondernemingsniveau is de vraag breder: valt er, over álle uitbestede en kritieke processen van Meridiaan heen, een onevenredige ophoping op één punt? Een eerste inventarisatie door Sanne laat zien dat Verantis niet alleen de kleinere-werkgeversmutaties verwerkt, maar ook — via een dochteronderneming waarvan Meridiaan zich tot nu toe niet bewust was — een deel van de documentopslag voor diezelfde mutaties beheert. Twee schijnbaar gescheiden diensten blijken, bij nader onderzoek, bij verwante partijen te liggen.</w:t>
      </w:r>
    </w:p>
    <w:p>
      <w:pPr>
        <w:pStyle w:val="Heading2"/>
        <w:spacing w:after="160" w:before="360"/>
      </w:pPr>
      <w:r>
        <w:rPr>
          <w:rFonts w:ascii="Calibri" w:cs="Calibri" w:eastAsia="Calibri" w:hAnsi="Calibri"/>
          <w:b/>
          <w:bCs/>
          <w:color w:val="2C5AA0"/>
          <w:sz w:val="26"/>
          <w:szCs w:val="26"/>
        </w:rPr>
        <w:t xml:space="preserve">25.6 Business Continuity Management (BCM)</w:t>
      </w:r>
    </w:p>
    <w:p>
      <w:pPr>
        <w:spacing w:after="180" w:line="300"/>
        <w:jc w:val="both"/>
      </w:pPr>
      <w:r>
        <w:rPr>
          <w:rFonts w:ascii="Calibri" w:cs="Calibri" w:eastAsia="Calibri" w:hAnsi="Calibri"/>
          <w:color w:val="1A1A1A"/>
          <w:sz w:val="21"/>
          <w:szCs w:val="21"/>
        </w:rPr>
        <w:t xml:space="preserve">BCM is de discipline die borgt dat een organisatie, ook bij een ernstige verstoring, haar kritieke processen kan voortzetten of snel kan herstellen. Voor Meridiaan betekent dit, specifiek voor de relatie met Verantis: een uitwijkplan voor het geval Verantis zelf een langdurige verstoring ondervindt — niet alleen ‘wat doen wij als onze eigen systemen uitvallen’ (deel 18, niveau 2, DORA-pijler 3), maar ook ‘wat doen wij als een kritieke externe partij uitvalt, en wij daar zelf part noch deel aan hebben.’</w:t>
      </w:r>
    </w:p>
    <w:p>
      <w:pPr>
        <w:spacing w:after="180" w:line="300"/>
        <w:jc w:val="both"/>
      </w:pPr>
      <w:r>
        <w:rPr>
          <w:rFonts w:ascii="Calibri" w:cs="Calibri" w:eastAsia="Calibri" w:hAnsi="Calibri"/>
          <w:color w:val="1A1A1A"/>
          <w:sz w:val="21"/>
          <w:szCs w:val="21"/>
        </w:rPr>
        <w:t xml:space="preserve">Dit is precies de vraag die, zoals in de vooruitblik van dit deel al werd aangekondigd, in de masterproef (deel 30) urgent wordt. Voor nu volstaat het vaststellen dat een BCM-plan voor de relatie met Verantis nog niet bestaat — een concreet, aanwijsbaar hiaat dat Sanne aan het eind van dit deel in haar eigen register opneemt, met een risicozin die het patroon van deel 1 (niveau 1) nog altijd volgt: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Doordat Meridiaan een deel van haar mutatieverwerking heeft uitbesteed aan Verantis Pensioenadministratie zonder dat er een uitwijkplan bestaat voor het geval Verantis een langdurige verstoring ondervindt, kan een dergelijke verstoring niet worden opgevangen, waardoor de mutatieverwerking voor de betrokken werkgevers stil kan komen te liggen zonder dat Meridiaan daarvoor zelf een alternatief heeft.</w:t>
            </w:r>
          </w:p>
        </w:tc>
      </w:tr>
    </w:tbl>
    <w:p>
      <w:pPr>
        <w:pStyle w:val="Heading2"/>
        <w:spacing w:after="160" w:before="360"/>
      </w:pPr>
      <w:r>
        <w:rPr>
          <w:rFonts w:ascii="Calibri" w:cs="Calibri" w:eastAsia="Calibri" w:hAnsi="Calibri"/>
          <w:b/>
          <w:bCs/>
          <w:color w:val="2C5AA0"/>
          <w:sz w:val="26"/>
          <w:szCs w:val="26"/>
        </w:rPr>
        <w:t xml:space="preserve">Samenvatting van deel 25</w:t>
      </w:r>
    </w:p>
    <w:p>
      <w:pPr>
        <w:pStyle w:val="ListParagraph"/>
        <w:numPr>
          <w:ilvl w:val="0"/>
          <w:numId w:val="2"/>
        </w:numPr>
        <w:spacing w:after="100" w:line="280"/>
      </w:pPr>
      <w:r>
        <w:rPr>
          <w:rFonts w:ascii="Calibri" w:cs="Calibri" w:eastAsia="Calibri" w:hAnsi="Calibri"/>
          <w:color w:val="1A1A1A"/>
          <w:sz w:val="21"/>
          <w:szCs w:val="21"/>
        </w:rPr>
        <w:t xml:space="preserve">Operationeel risico: verlies door falende processen, mensen, systemen, of externe gebeurtenissen — breder dan IT-risico, dat er een deelverzameling van is.</w:t>
      </w:r>
    </w:p>
    <w:p>
      <w:pPr>
        <w:pStyle w:val="ListParagraph"/>
        <w:numPr>
          <w:ilvl w:val="0"/>
          <w:numId w:val="2"/>
        </w:numPr>
        <w:spacing w:after="100" w:line="280"/>
      </w:pPr>
      <w:r>
        <w:rPr>
          <w:rFonts w:ascii="Calibri" w:cs="Calibri" w:eastAsia="Calibri" w:hAnsi="Calibri"/>
          <w:color w:val="1A1A1A"/>
          <w:sz w:val="21"/>
          <w:szCs w:val="21"/>
        </w:rPr>
        <w:t xml:space="preserve">Een zevendelige taxonomie van verliesgebeurtenissen ordent vrijwel alles wat deze cursus tot nu toe heeft behandeld.</w:t>
      </w:r>
    </w:p>
    <w:p>
      <w:pPr>
        <w:pStyle w:val="ListParagraph"/>
        <w:numPr>
          <w:ilvl w:val="0"/>
          <w:numId w:val="2"/>
        </w:numPr>
        <w:spacing w:after="100" w:line="280"/>
      </w:pPr>
      <w:r>
        <w:rPr>
          <w:rFonts w:ascii="Calibri" w:cs="Calibri" w:eastAsia="Calibri" w:hAnsi="Calibri"/>
          <w:color w:val="1A1A1A"/>
          <w:sz w:val="21"/>
          <w:szCs w:val="21"/>
        </w:rPr>
        <w:t xml:space="preserve">Ondernemingsbrede KRI's geven een continu beeld zonder in elk risico te duiken.</w:t>
      </w:r>
    </w:p>
    <w:p>
      <w:pPr>
        <w:pStyle w:val="ListParagraph"/>
        <w:numPr>
          <w:ilvl w:val="0"/>
          <w:numId w:val="2"/>
        </w:numPr>
        <w:spacing w:after="100" w:line="280"/>
      </w:pPr>
      <w:r>
        <w:rPr>
          <w:rFonts w:ascii="Calibri" w:cs="Calibri" w:eastAsia="Calibri" w:hAnsi="Calibri"/>
          <w:color w:val="1A1A1A"/>
          <w:sz w:val="21"/>
          <w:szCs w:val="21"/>
        </w:rPr>
        <w:t xml:space="preserve">Kernzin 18: uitbesteden verplaatst het werk, nooit de verantwoordelijkheid — artikel 34 Pensioenwet zegt dat expliciet.</w:t>
      </w:r>
    </w:p>
    <w:p>
      <w:pPr>
        <w:pStyle w:val="ListParagraph"/>
        <w:numPr>
          <w:ilvl w:val="0"/>
          <w:numId w:val="2"/>
        </w:numPr>
        <w:spacing w:after="100" w:line="280"/>
      </w:pPr>
      <w:r>
        <w:rPr>
          <w:rFonts w:ascii="Calibri" w:cs="Calibri" w:eastAsia="Calibri" w:hAnsi="Calibri"/>
          <w:color w:val="1A1A1A"/>
          <w:sz w:val="21"/>
          <w:szCs w:val="21"/>
        </w:rPr>
        <w:t xml:space="preserve">Ketenrisico vraagt aandacht voor sub-uitbesteding en voor daadwerkelijk toezicht op de uitvoering, niet alleen op het contract.</w:t>
      </w:r>
    </w:p>
    <w:p>
      <w:pPr>
        <w:pStyle w:val="ListParagraph"/>
        <w:numPr>
          <w:ilvl w:val="0"/>
          <w:numId w:val="2"/>
        </w:numPr>
        <w:spacing w:after="100" w:line="280"/>
      </w:pPr>
      <w:r>
        <w:rPr>
          <w:rFonts w:ascii="Calibri" w:cs="Calibri" w:eastAsia="Calibri" w:hAnsi="Calibri"/>
          <w:color w:val="1A1A1A"/>
          <w:sz w:val="21"/>
          <w:szCs w:val="21"/>
        </w:rPr>
        <w:t xml:space="preserve">Concentratierisico op ondernemingsniveau kan schuilgaan achter schijnbaar gescheiden diensten die bij verwante partijen liggen — zoals bij Verantis en haar dochteronderneming.</w:t>
      </w:r>
    </w:p>
    <w:p>
      <w:pPr>
        <w:pStyle w:val="ListParagraph"/>
        <w:numPr>
          <w:ilvl w:val="0"/>
          <w:numId w:val="2"/>
        </w:numPr>
        <w:spacing w:after="100" w:line="280"/>
      </w:pPr>
      <w:r>
        <w:rPr>
          <w:rFonts w:ascii="Calibri" w:cs="Calibri" w:eastAsia="Calibri" w:hAnsi="Calibri"/>
          <w:color w:val="1A1A1A"/>
          <w:sz w:val="21"/>
          <w:szCs w:val="21"/>
        </w:rPr>
        <w:t xml:space="preserve">BCM voor uitbestede kritieke processen is een expliciet hiaat bij Meridiaan, vastgelegd als nieuw risico.</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26 verschuift naar financieel risico: markt-, rente-, krediet-, langleven- en liquiditeitsrisico, geaggregeerd tot risicokapitaal — met de vraag hoe je, als niet-actuaris, deze risico's kunt bevragen zonder ze zelf te kunnen berekenen.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2026-08-17T06:53:06.453Z</dcterms:created>
  <dcterms:modified xsi:type="dcterms:W3CDTF">2026-08-17T06:53:06.454Z</dcterms:modified>
</cp:coreProperties>
</file>

<file path=docProps/custom.xml><?xml version="1.0" encoding="utf-8"?>
<Properties xmlns="http://schemas.openxmlformats.org/officeDocument/2006/custom-properties" xmlns:vt="http://schemas.openxmlformats.org/officeDocument/2006/docPropsVTypes"/>
</file>