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25 — Operationeel risico</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25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25.1 — Categoriseer de verliesgebeurtenis</w:t>
      </w:r>
    </w:p>
    <w:p>
      <w:pPr>
        <w:spacing w:after="180" w:line="300"/>
        <w:jc w:val="both"/>
      </w:pPr>
      <w:r>
        <w:rPr>
          <w:rFonts w:ascii="Calibri" w:cs="Calibri" w:eastAsia="Calibri" w:hAnsi="Calibri"/>
          <w:color w:val="1A1A1A"/>
          <w:sz w:val="21"/>
          <w:szCs w:val="21"/>
        </w:rPr>
        <w:t xml:space="preserve">Wijs elk van de volgende gebeurtenissen toe aan een van de zeven categorieën uit paragraaf 25.2.</w:t>
      </w:r>
    </w:p>
    <w:p>
      <w:pPr>
        <w:spacing w:after="180" w:line="300"/>
        <w:jc w:val="both"/>
      </w:pPr>
      <w:r>
        <w:rPr>
          <w:rFonts w:ascii="Calibri" w:cs="Calibri" w:eastAsia="Calibri" w:hAnsi="Calibri"/>
          <w:color w:val="1A1A1A"/>
          <w:sz w:val="21"/>
          <w:szCs w:val="21"/>
        </w:rPr>
        <w:t xml:space="preserve">a. Een medewerker verwerkt, zonder kwade opzet, een mutatie met een verkeerd bedrag door een verkeerde interpretatie van een formulier.</w:t>
      </w:r>
    </w:p>
    <w:p>
      <w:pPr>
        <w:spacing w:after="180" w:line="300"/>
        <w:jc w:val="both"/>
      </w:pPr>
      <w:r>
        <w:rPr>
          <w:rFonts w:ascii="Calibri" w:cs="Calibri" w:eastAsia="Calibri" w:hAnsi="Calibri"/>
          <w:color w:val="1A1A1A"/>
          <w:sz w:val="21"/>
          <w:szCs w:val="21"/>
        </w:rPr>
        <w:t xml:space="preserve">b. Verantis meldt een storing die de verwerking van mutaties twee dagen platlegt.</w:t>
      </w:r>
    </w:p>
    <w:p>
      <w:pPr>
        <w:spacing w:after="180" w:line="300"/>
        <w:jc w:val="both"/>
      </w:pPr>
      <w:r>
        <w:rPr>
          <w:rFonts w:ascii="Calibri" w:cs="Calibri" w:eastAsia="Calibri" w:hAnsi="Calibri"/>
          <w:color w:val="1A1A1A"/>
          <w:sz w:val="21"/>
          <w:szCs w:val="21"/>
        </w:rPr>
        <w:t xml:space="preserve">c. Een oplichter dient, met vervalste documenten, een mutatie in namens een niet-bestaande werkgever.</w:t>
      </w:r>
    </w:p>
    <w:p>
      <w:pPr>
        <w:spacing w:after="180" w:line="300"/>
        <w:jc w:val="both"/>
      </w:pPr>
      <w:r>
        <w:rPr>
          <w:rFonts w:ascii="Calibri" w:cs="Calibri" w:eastAsia="Calibri" w:hAnsi="Calibri"/>
          <w:color w:val="1A1A1A"/>
          <w:sz w:val="21"/>
          <w:szCs w:val="21"/>
        </w:rPr>
        <w:t xml:space="preserve">d. Een adviseur van Meridiaan geeft een werkgever verkeerd advies over de gevolgen van een personeelswijziging.</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Uitvoering, levering en procesmanagement — een fout zonder kwade opzet.
b. Bedrijfsonderbreking en systeemfalen.
c. Externe fraude.
d. Klanten, producten en bedrijfspraktijken.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25.2 — Toets artikel 34 Pw</w:t>
      </w:r>
    </w:p>
    <w:p>
      <w:pPr>
        <w:spacing w:after="180" w:line="300"/>
        <w:jc w:val="both"/>
      </w:pPr>
      <w:r>
        <w:rPr>
          <w:rFonts w:ascii="Calibri" w:cs="Calibri" w:eastAsia="Calibri" w:hAnsi="Calibri"/>
          <w:color w:val="1A1A1A"/>
          <w:sz w:val="21"/>
          <w:szCs w:val="21"/>
        </w:rPr>
        <w:t xml:space="preserve">Een collega stelt: ‘Nu we de mutatieverwerking hebben uitbesteed aan Verantis, is Verantis verantwoordelijk als er iets misgaat.’ Is deze uitspraak correct volgens artikel 34 Pensioenwet? Onderbouw, en formuleer een correctere versie.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Onjuist. Artikel 34 Pw staat uitbesteding toe, maar bepaalt uitdrukkelijk dat dit de verantwoordelijkheid van de pensioenuitvoerder voor de organisatie en beheersing van de bedrijfsprocessen, of het toezicht daarop, niet mag ondermijnen. Meridiaan blijft dus volledig verantwoordelijk, ook al ligt de feitelijke uitvoering bij Verantis.
Correctere versie: ‘Nu we de mutatieverwerking hebben uitbesteed aan Verantis, ligt de uitvoering daar — maar Meridiaan blijft wettelijk volledig verantwoordelijk, en moet aantoonbaar toezicht houden op wat Verantis doet.’
Wat je hier moet meenemen: dit misverstand komt in de praktijk vaak voor, en is precies waarom Kernzin 18 het waard is expliciet te maken — uitbesteding voelt voor veel mensen als het overdragen van verantwoordelijkheid, terwijl de wet het tegendeel bepaalt.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25.3 — Ketendiepte in kaart brengen</w:t>
      </w:r>
    </w:p>
    <w:p>
      <w:pPr>
        <w:spacing w:after="180" w:line="300"/>
        <w:jc w:val="both"/>
      </w:pPr>
      <w:r>
        <w:rPr>
          <w:rFonts w:ascii="Calibri" w:cs="Calibri" w:eastAsia="Calibri" w:hAnsi="Calibri"/>
          <w:color w:val="1A1A1A"/>
          <w:sz w:val="21"/>
          <w:szCs w:val="21"/>
        </w:rPr>
        <w:t xml:space="preserve">Voor de relatie met Verantis: formuleer drie vragen die Sanne zou moeten stellen om de ‘diepere keten’ (sub-uitbesteding) in kaart te brengen, naar het voorbeeld van de ontdekking in paragraaf 25.5 (de dochteronderneming voor documentopslag).</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Drie voorbeeldvragen:
1. ‘Welke onderdelen van de dienstverlening die Verantis aan Meridiaan levert, worden op hun beurt weer door een derde partij uitgevoerd?’
2. ‘Zijn er bedrijfsmatige banden tussen Verantis en andere partijen waarmee Meridiaan al een relatie heeft — bijvoorbeeld gedeeld eigenaarschap of gedeelde infrastructuur?’
3. ‘Heeft Verantis zelf een actueel overzicht van haar eigen kritieke leveranciers, en is Meridiaan gerechtigd dat overzicht in te zien?’
Wat je hier moet meenemen: de derde vraag is vaak de lastigste in de praktijk — niet elke leverancier is bereid of verplicht om haar eigen keten inzichtelijk te maken, wat zelf weer een risico is dat vastgelegd moet worden als het antwoord nee is.</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25</w:t>
      </w:r>
    </w:p>
    <w:p>
      <w:pPr>
        <w:pStyle w:val="ListParagraph"/>
        <w:numPr>
          <w:ilvl w:val="0"/>
          <w:numId w:val="2"/>
        </w:numPr>
        <w:spacing w:after="100" w:line="280"/>
      </w:pPr>
      <w:r>
        <w:rPr>
          <w:rFonts w:ascii="Calibri" w:cs="Calibri" w:eastAsia="Calibri" w:hAnsi="Calibri"/>
          <w:color w:val="1A1A1A"/>
          <w:sz w:val="21"/>
          <w:szCs w:val="21"/>
        </w:rPr>
        <w:t xml:space="preserve">1. Wat is de definitie van operationeel risico, en hoe verhoudt die zich tot IT-risico?</w:t>
      </w:r>
    </w:p>
    <w:p>
      <w:pPr>
        <w:pStyle w:val="ListParagraph"/>
        <w:numPr>
          <w:ilvl w:val="0"/>
          <w:numId w:val="2"/>
        </w:numPr>
        <w:spacing w:after="100" w:line="280"/>
      </w:pPr>
      <w:r>
        <w:rPr>
          <w:rFonts w:ascii="Calibri" w:cs="Calibri" w:eastAsia="Calibri" w:hAnsi="Calibri"/>
          <w:color w:val="1A1A1A"/>
          <w:sz w:val="21"/>
          <w:szCs w:val="21"/>
        </w:rPr>
        <w:t xml:space="preserve">2. Noem minstens vijf van de zeven categorieën verliesgebeurtenissen.</w:t>
      </w:r>
    </w:p>
    <w:p>
      <w:pPr>
        <w:pStyle w:val="ListParagraph"/>
        <w:numPr>
          <w:ilvl w:val="0"/>
          <w:numId w:val="2"/>
        </w:numPr>
        <w:spacing w:after="100" w:line="280"/>
      </w:pPr>
      <w:r>
        <w:rPr>
          <w:rFonts w:ascii="Calibri" w:cs="Calibri" w:eastAsia="Calibri" w:hAnsi="Calibri"/>
          <w:color w:val="1A1A1A"/>
          <w:sz w:val="21"/>
          <w:szCs w:val="21"/>
        </w:rPr>
        <w:t xml:space="preserve">3. Wat is het verschil tussen KRI's op projectniveau (deel 8, niveau 1) en op ondernemingsniveau (dit deel)?</w:t>
      </w:r>
    </w:p>
    <w:p>
      <w:pPr>
        <w:pStyle w:val="ListParagraph"/>
        <w:numPr>
          <w:ilvl w:val="0"/>
          <w:numId w:val="2"/>
        </w:numPr>
        <w:spacing w:after="100" w:line="280"/>
      </w:pPr>
      <w:r>
        <w:rPr>
          <w:rFonts w:ascii="Calibri" w:cs="Calibri" w:eastAsia="Calibri" w:hAnsi="Calibri"/>
          <w:color w:val="1A1A1A"/>
          <w:sz w:val="21"/>
          <w:szCs w:val="21"/>
        </w:rPr>
        <w:t xml:space="preserve">4. Wat is kernzin 18, en welk wetsartikel ligt eraan ten grondslag?</w:t>
      </w:r>
    </w:p>
    <w:p>
      <w:pPr>
        <w:pStyle w:val="ListParagraph"/>
        <w:numPr>
          <w:ilvl w:val="0"/>
          <w:numId w:val="2"/>
        </w:numPr>
        <w:spacing w:after="100" w:line="280"/>
      </w:pPr>
      <w:r>
        <w:rPr>
          <w:rFonts w:ascii="Calibri" w:cs="Calibri" w:eastAsia="Calibri" w:hAnsi="Calibri"/>
          <w:color w:val="1A1A1A"/>
          <w:sz w:val="21"/>
          <w:szCs w:val="21"/>
        </w:rPr>
        <w:t xml:space="preserve">5. Wat is ketenrisico, en waarom is het meer dan alleen leveranciersrisico?</w:t>
      </w:r>
    </w:p>
    <w:p>
      <w:pPr>
        <w:pStyle w:val="ListParagraph"/>
        <w:numPr>
          <w:ilvl w:val="0"/>
          <w:numId w:val="2"/>
        </w:numPr>
        <w:spacing w:after="100" w:line="280"/>
      </w:pPr>
      <w:r>
        <w:rPr>
          <w:rFonts w:ascii="Calibri" w:cs="Calibri" w:eastAsia="Calibri" w:hAnsi="Calibri"/>
          <w:color w:val="1A1A1A"/>
          <w:sz w:val="21"/>
          <w:szCs w:val="21"/>
        </w:rPr>
        <w:t xml:space="preserve">6. Wat ontdekte Sanne bij haar eerste inventarisatie van Verantis, en welk begrip uit deel 17 (niveau 2) is hier van toepassing?</w:t>
      </w:r>
    </w:p>
    <w:p>
      <w:pPr>
        <w:pStyle w:val="ListParagraph"/>
        <w:numPr>
          <w:ilvl w:val="0"/>
          <w:numId w:val="2"/>
        </w:numPr>
        <w:spacing w:after="100" w:line="280"/>
      </w:pPr>
      <w:r>
        <w:rPr>
          <w:rFonts w:ascii="Calibri" w:cs="Calibri" w:eastAsia="Calibri" w:hAnsi="Calibri"/>
          <w:color w:val="1A1A1A"/>
          <w:sz w:val="21"/>
          <w:szCs w:val="21"/>
        </w:rPr>
        <w:t xml:space="preserve">7. Wat is BCM, en welk concreet hiaat identificeerde Sanne?</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Het risico op verlies door ontoereikende of falende interne processen, mensen, systemen, of externe gebeurtenissen. IT-risico is een specifieke, wettelijk verzwaarde deelverzameling van operationeel risico.</w:t>
      </w:r>
    </w:p>
    <w:p>
      <w:pPr>
        <w:spacing w:after="180" w:line="300"/>
        <w:jc w:val="both"/>
      </w:pPr>
      <w:r>
        <w:rPr>
          <w:rFonts w:ascii="Calibri" w:cs="Calibri" w:eastAsia="Calibri" w:hAnsi="Calibri"/>
          <w:color w:val="1A1A1A"/>
          <w:sz w:val="21"/>
          <w:szCs w:val="21"/>
        </w:rPr>
        <w:t xml:space="preserve">2. Interne fraude, externe fraude, arbeidsrelaties en werkplekveiligheid, klanten/producten/bedrijfspraktijken, schade aan fysieke activa, bedrijfsonderbreking en systeemfalen, uitvoering/levering/procesmanagement (vijf van deze zeven is voldoende).</w:t>
      </w:r>
    </w:p>
    <w:p>
      <w:pPr>
        <w:spacing w:after="180" w:line="300"/>
        <w:jc w:val="both"/>
      </w:pPr>
      <w:r>
        <w:rPr>
          <w:rFonts w:ascii="Calibri" w:cs="Calibri" w:eastAsia="Calibri" w:hAnsi="Calibri"/>
          <w:color w:val="1A1A1A"/>
          <w:sz w:val="21"/>
          <w:szCs w:val="21"/>
        </w:rPr>
        <w:t xml:space="preserve">3. Projectniveau-KRI's zijn gedetailleerd en gekoppeld aan één specifiek risico; ondernemingsniveau-KRI's zijn geaggregeerd tot een beperkte set die een continu beeld geeft zonder in elk afzonderlijk risico te duiken.</w:t>
      </w:r>
    </w:p>
    <w:p>
      <w:pPr>
        <w:spacing w:after="180" w:line="300"/>
        <w:jc w:val="both"/>
      </w:pPr>
      <w:r>
        <w:rPr>
          <w:rFonts w:ascii="Calibri" w:cs="Calibri" w:eastAsia="Calibri" w:hAnsi="Calibri"/>
          <w:color w:val="1A1A1A"/>
          <w:sz w:val="21"/>
          <w:szCs w:val="21"/>
        </w:rPr>
        <w:t xml:space="preserve">4. Uitbesteden verplaatst het werk, nooit de verantwoordelijkheid; gebaseerd op artikel 34 Pensioenwet.</w:t>
      </w:r>
    </w:p>
    <w:p>
      <w:pPr>
        <w:spacing w:after="180" w:line="300"/>
        <w:jc w:val="both"/>
      </w:pPr>
      <w:r>
        <w:rPr>
          <w:rFonts w:ascii="Calibri" w:cs="Calibri" w:eastAsia="Calibri" w:hAnsi="Calibri"/>
          <w:color w:val="1A1A1A"/>
          <w:sz w:val="21"/>
          <w:szCs w:val="21"/>
        </w:rPr>
        <w:t xml:space="preserve">5. Ketenrisico gaat verder dan de directe leverancier — het omvat ook de partijen waaraan die leverancier op haar beurt weer werk uitbesteedt (sub-uitbesteding), en de vraag of daar risico's ontstaan die Meridiaan niet direct ziet.</w:t>
      </w:r>
    </w:p>
    <w:p>
      <w:pPr>
        <w:spacing w:after="180" w:line="300"/>
        <w:jc w:val="both"/>
      </w:pPr>
      <w:r>
        <w:rPr>
          <w:rFonts w:ascii="Calibri" w:cs="Calibri" w:eastAsia="Calibri" w:hAnsi="Calibri"/>
          <w:color w:val="1A1A1A"/>
          <w:sz w:val="21"/>
          <w:szCs w:val="21"/>
        </w:rPr>
        <w:t xml:space="preserve">6. Dat Verantis, via een dochteronderneming, ook de documentopslag voor dezelfde mutaties beheert — twee schijnbaar gescheiden diensten die bij verwante partijen blijken te liggen. Dit is concentratierisico, nu toegepast op ondernemingsniveau.</w:t>
      </w:r>
    </w:p>
    <w:p>
      <w:pPr>
        <w:spacing w:after="180" w:line="300"/>
        <w:jc w:val="both"/>
      </w:pPr>
      <w:r>
        <w:rPr>
          <w:rFonts w:ascii="Calibri" w:cs="Calibri" w:eastAsia="Calibri" w:hAnsi="Calibri"/>
          <w:color w:val="1A1A1A"/>
          <w:sz w:val="21"/>
          <w:szCs w:val="21"/>
        </w:rPr>
        <w:t xml:space="preserve">7. Business Continuity Management: de discipline die borgt dat kritieke processen kunnen worden voortgezet of snel hersteld bij een ernstige verstoring. Het hiaat: er bestaat geen uitwijkplan voor het geval Verantis zelf een langdurige verstoring ondervindt.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2026-08-17T06:54:42.225Z</dcterms:created>
  <dcterms:modified xsi:type="dcterms:W3CDTF">2026-08-17T06:54:42.226Z</dcterms:modified>
</cp:coreProperties>
</file>

<file path=docProps/custom.xml><?xml version="1.0" encoding="utf-8"?>
<Properties xmlns="http://schemas.openxmlformats.org/officeDocument/2006/custom-properties" xmlns:vt="http://schemas.openxmlformats.org/officeDocument/2006/docPropsVTypes"/>
</file>