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2A4A"/>
          <w:sz w:val="44"/>
          <w:szCs w:val="44"/>
        </w:rPr>
        <w:t xml:space="preserve">RISICOMANAGEMENT</w:t>
      </w:r>
    </w:p>
    <w:p>
      <w:pPr>
        <w:spacing w:before="300"/>
        <w:jc w:val="center"/>
      </w:pPr>
      <w:r>
        <w:rPr>
          <w:rFonts w:ascii="Calibri" w:cs="Calibri" w:eastAsia="Calibri" w:hAnsi="Calibri"/>
          <w:color w:val="2C5AA0"/>
          <w:sz w:val="32"/>
          <w:szCs w:val="32"/>
        </w:rPr>
        <w:t xml:space="preserve">Deel 26 — Financieel risico voor niet-actuarissen</w:t>
      </w:r>
    </w:p>
    <w:p>
      <w:pPr>
        <w:spacing w:before="600"/>
        <w:jc w:val="center"/>
      </w:pPr>
      <w:r>
        <w:rPr>
          <w:rFonts w:ascii="Calibri" w:cs="Calibri" w:eastAsia="Calibri" w:hAnsi="Calibri"/>
          <w:b/>
          <w:bCs/>
          <w:color w:val="1B2A4A"/>
          <w:sz w:val="24"/>
          <w:szCs w:val="24"/>
        </w:rPr>
        <w:t xml:space="preserve">Niveau 3 — Expert</w:t>
      </w:r>
    </w:p>
    <w:p>
      <w:pPr>
        <w:spacing w:before="200"/>
        <w:jc w:val="center"/>
      </w:pPr>
      <w:r>
        <w:rPr>
          <w:rFonts w:ascii="Calibri" w:cs="Calibri" w:eastAsia="Calibri" w:hAnsi="Calibri"/>
          <w:i/>
          <w:iCs/>
          <w:color w:val="D99A3D"/>
          <w:sz w:val="24"/>
          <w:szCs w:val="24"/>
        </w:rPr>
        <w:t xml:space="preserve">Docentenhandleiding</w:t>
      </w:r>
    </w:p>
    <w:p>
      <w:pPr>
        <w:spacing w:before="1200"/>
        <w:jc w:val="center"/>
      </w:pPr>
      <w:r>
        <w:rPr>
          <w:rFonts w:ascii="Calibri" w:cs="Calibri" w:eastAsia="Calibri" w:hAnsi="Calibri"/>
          <w:color w:val="8B93A5"/>
          <w:sz w:val="20"/>
          <w:szCs w:val="20"/>
        </w:rPr>
        <w:t xml:space="preserve">Ductus</w:t>
      </w:r>
    </w:p>
    <w:p>
      <w:r>
        <w:br w:type="page"/>
      </w:r>
    </w:p>
    <w:p>
      <w:pPr>
        <w:pStyle w:val="Heading1"/>
        <w:pBdr>
          <w:bottom w:val="single" w:color="1B2A4A" w:sz="6" w:space="4"/>
        </w:pBdr>
        <w:spacing w:after="240" w:before="480"/>
      </w:pPr>
      <w:r>
        <w:rPr>
          <w:rFonts w:ascii="Calibri" w:cs="Calibri" w:eastAsia="Calibri" w:hAnsi="Calibri"/>
          <w:b/>
          <w:bCs/>
          <w:color w:val="1B2A4A"/>
          <w:sz w:val="32"/>
          <w:szCs w:val="32"/>
        </w:rPr>
        <w:t xml:space="preserve">Deel 26 — Docentenhandleiding</w:t>
      </w:r>
    </w:p>
    <w:p>
      <w:pPr>
        <w:pStyle w:val="Heading2"/>
        <w:spacing w:after="160" w:before="360"/>
      </w:pPr>
      <w:r>
        <w:rPr>
          <w:rFonts w:ascii="Calibri" w:cs="Calibri" w:eastAsia="Calibri" w:hAnsi="Calibri"/>
          <w:b/>
          <w:bCs/>
          <w:color w:val="2C5AA0"/>
          <w:sz w:val="26"/>
          <w:szCs w:val="26"/>
        </w:rPr>
        <w:t xml:space="preserve">Positie van dit deel</w:t>
      </w:r>
    </w:p>
    <w:p>
      <w:pPr>
        <w:spacing w:after="180" w:line="300"/>
        <w:jc w:val="both"/>
      </w:pPr>
      <w:r>
        <w:rPr>
          <w:rFonts w:ascii="Calibri" w:cs="Calibri" w:eastAsia="Calibri" w:hAnsi="Calibri"/>
          <w:color w:val="1A1A1A"/>
          <w:sz w:val="21"/>
          <w:szCs w:val="21"/>
        </w:rPr>
        <w:t xml:space="preserve">Dit deel bestaat om een reële angst weg te nemen: veel deelnemers voelen zich onzeker over financieel risico omdat ze geen actuaris zijn. Het hele deel is opgebouwd om die onzekerheid te ontkrachten — niet door deelnemers actuariële kennis bij te brengen, maar door te laten zien dat een andere vaardigheid (het stellen van de juiste vraag) net zo waardevol is, en volledig bij hun eigen rol past.</w:t>
      </w:r>
    </w:p>
    <w:p>
      <w:pPr>
        <w:spacing w:after="180" w:line="300"/>
        <w:jc w:val="both"/>
      </w:pPr>
      <w:r>
        <w:rPr>
          <w:rFonts w:ascii="Calibri" w:cs="Calibri" w:eastAsia="Calibri" w:hAnsi="Calibri"/>
          <w:color w:val="1A1A1A"/>
          <w:sz w:val="21"/>
          <w:szCs w:val="21"/>
        </w:rPr>
        <w:t xml:space="preserve">Bewaak dat het deel niet alsnog in technische, actuariële diepgang verzandt. De vijf risico's in paragraaf 26.1 zijn met opzet kort gehouden — het gaat om herkenning en het juiste kernvraag kunnen stellen, niet om berekening.</w:t>
      </w:r>
    </w:p>
    <w:p>
      <w:pPr>
        <w:pStyle w:val="Heading2"/>
        <w:spacing w:after="160" w:before="360"/>
      </w:pPr>
      <w:r>
        <w:rPr>
          <w:rFonts w:ascii="Calibri" w:cs="Calibri" w:eastAsia="Calibri" w:hAnsi="Calibri"/>
          <w:b/>
          <w:bCs/>
          <w:color w:val="2C5AA0"/>
          <w:sz w:val="26"/>
          <w:szCs w:val="26"/>
        </w:rPr>
        <w:t xml:space="preserve">Leerdoelen</w:t>
      </w:r>
    </w:p>
    <w:p>
      <w:pPr>
        <w:pStyle w:val="ListParagraph"/>
        <w:numPr>
          <w:ilvl w:val="0"/>
          <w:numId w:val="2"/>
        </w:numPr>
        <w:spacing w:after="100" w:line="280"/>
      </w:pPr>
      <w:r>
        <w:rPr>
          <w:rFonts w:ascii="Calibri" w:cs="Calibri" w:eastAsia="Calibri" w:hAnsi="Calibri"/>
          <w:color w:val="1A1A1A"/>
          <w:sz w:val="21"/>
          <w:szCs w:val="21"/>
        </w:rPr>
        <w:t xml:space="preserve">de vijf financiële risico's en hun kernvraag benoemen en toepassen op een gegeven scenario</w:t>
      </w:r>
    </w:p>
    <w:p>
      <w:pPr>
        <w:pStyle w:val="ListParagraph"/>
        <w:numPr>
          <w:ilvl w:val="0"/>
          <w:numId w:val="2"/>
        </w:numPr>
        <w:spacing w:after="100" w:line="280"/>
      </w:pPr>
      <w:r>
        <w:rPr>
          <w:rFonts w:ascii="Calibri" w:cs="Calibri" w:eastAsia="Calibri" w:hAnsi="Calibri"/>
          <w:color w:val="1A1A1A"/>
          <w:sz w:val="21"/>
          <w:szCs w:val="21"/>
        </w:rPr>
        <w:t xml:space="preserve">uitleggen waarom aggregatie van financiële risico's tot over- of onderschatting kan leiden, afhankelijk van correlatie</w:t>
      </w:r>
    </w:p>
    <w:p>
      <w:pPr>
        <w:pStyle w:val="ListParagraph"/>
        <w:numPr>
          <w:ilvl w:val="0"/>
          <w:numId w:val="2"/>
        </w:numPr>
        <w:spacing w:after="100" w:line="280"/>
      </w:pPr>
      <w:r>
        <w:rPr>
          <w:rFonts w:ascii="Calibri" w:cs="Calibri" w:eastAsia="Calibri" w:hAnsi="Calibri"/>
          <w:color w:val="1A1A1A"/>
          <w:sz w:val="21"/>
          <w:szCs w:val="21"/>
        </w:rPr>
        <w:t xml:space="preserve">Value at Risk uitleggen, inclusief wat het niet zegt</w:t>
      </w:r>
    </w:p>
    <w:p>
      <w:pPr>
        <w:pStyle w:val="ListParagraph"/>
        <w:numPr>
          <w:ilvl w:val="0"/>
          <w:numId w:val="2"/>
        </w:numPr>
        <w:spacing w:after="100" w:line="280"/>
      </w:pPr>
      <w:r>
        <w:rPr>
          <w:rFonts w:ascii="Calibri" w:cs="Calibri" w:eastAsia="Calibri" w:hAnsi="Calibri"/>
          <w:color w:val="1A1A1A"/>
          <w:sz w:val="21"/>
          <w:szCs w:val="21"/>
        </w:rPr>
        <w:t xml:space="preserve">Kernzin 19 toepassen en de vijf-vragen-set gebruiken om een willekeurig kwantitatief model te bevragen</w:t>
      </w:r>
    </w:p>
    <w:p>
      <w:pPr>
        <w:pStyle w:val="ListParagraph"/>
        <w:numPr>
          <w:ilvl w:val="0"/>
          <w:numId w:val="2"/>
        </w:numPr>
        <w:spacing w:after="100" w:line="280"/>
      </w:pPr>
      <w:r>
        <w:rPr>
          <w:rFonts w:ascii="Calibri" w:cs="Calibri" w:eastAsia="Calibri" w:hAnsi="Calibri"/>
          <w:color w:val="1A1A1A"/>
          <w:sz w:val="21"/>
          <w:szCs w:val="21"/>
        </w:rPr>
        <w:t xml:space="preserve">het principe ‘model bevragen, niet bouwen’ concreet toepassen op een casus</w:t>
      </w:r>
    </w:p>
    <w:p>
      <w:pPr>
        <w:pStyle w:val="Heading2"/>
        <w:spacing w:after="160" w:before="360"/>
      </w:pPr>
      <w:r>
        <w:rPr>
          <w:rFonts w:ascii="Calibri" w:cs="Calibri" w:eastAsia="Calibri" w:hAnsi="Calibri"/>
          <w:b/>
          <w:bCs/>
          <w:color w:val="2C5AA0"/>
          <w:sz w:val="26"/>
          <w:szCs w:val="26"/>
        </w:rPr>
        <w:t xml:space="preserve">Tijdsindeling (één dagdeel, 3 uur 30)</w:t>
      </w:r>
    </w:p>
    <w:tbl>
      <w:tblPr>
        <w:tblW w:type="pct" w:w="100%"/>
        <w:tblBorders>
          <w:top w:val="single" w:color="C7CCD6" w:sz="2"/>
          <w:left w:val="single" w:color="C7CCD6" w:sz="2"/>
          <w:bottom w:val="single" w:color="C7CCD6" w:sz="2"/>
          <w:right w:val="single" w:color="C7CCD6" w:sz="2"/>
          <w:insideH w:val="single" w:color="C7CCD6" w:sz="2"/>
          <w:insideV w:val="single" w:color="C7CCD6" w:sz="2"/>
        </w:tblBorders>
      </w:tblPr>
      <w:tblGrid>
        <w:gridCol w:w="1683"/>
        <w:gridCol w:w="5142"/>
        <w:gridCol w:w="2524"/>
      </w:tblGrid>
      <w:tr>
        <w:trPr>
          <w:tblHeader/>
        </w:trPr>
        <w:tc>
          <w:tcPr>
            <w:tcW w:type="pct" w:w="18%"/>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Tijd</w:t>
            </w:r>
          </w:p>
        </w:tc>
        <w:tc>
          <w:tcPr>
            <w:tcW w:type="pct" w:w="55%"/>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Onderdeel</w:t>
            </w:r>
          </w:p>
        </w:tc>
        <w:tc>
          <w:tcPr>
            <w:tcW w:type="pct" w:w="27%"/>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Vorm</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0:00–0:15</w:t>
            </w:r>
          </w:p>
        </w:tc>
        <w:tc>
          <w:tcPr>
            <w:tcW w:type="pct" w:w="5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Sanne bij de actuariële presentatie, de angst geadresseerd</w:t>
            </w:r>
          </w:p>
        </w:tc>
        <w:tc>
          <w:tcPr>
            <w:tcW w:type="pct" w:w="27%"/>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Vertelling, slides 3–4</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0:15–0:45</w:t>
            </w:r>
          </w:p>
        </w:tc>
        <w:tc>
          <w:tcPr>
            <w:tcW w:type="pct" w:w="55%"/>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Vijf financiële risico's, kort</w:t>
            </w:r>
          </w:p>
        </w:tc>
        <w:tc>
          <w:tcPr>
            <w:tcW w:type="pct" w:w="27%"/>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Slides 5–10</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0:45–1:05</w:t>
            </w:r>
          </w:p>
        </w:tc>
        <w:tc>
          <w:tcPr>
            <w:tcW w:type="pct" w:w="5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Opdracht 26.1</w:t>
            </w:r>
          </w:p>
        </w:tc>
        <w:tc>
          <w:tcPr>
            <w:tcW w:type="pct" w:w="27%"/>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Individueel, dan plenair</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1:05–1:20</w:t>
            </w:r>
          </w:p>
        </w:tc>
        <w:tc>
          <w:tcPr>
            <w:tcW w:type="pct" w:w="55%"/>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Pauze</w:t>
            </w:r>
          </w:p>
        </w:tc>
        <w:tc>
          <w:tcPr>
            <w:tcW w:type="pct" w:w="27%"/>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1:20–1:45</w:t>
            </w:r>
          </w:p>
        </w:tc>
        <w:tc>
          <w:tcPr>
            <w:tcW w:type="pct" w:w="5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Aggregatie en risicokapitaal, over- versus onderschatting</w:t>
            </w:r>
          </w:p>
        </w:tc>
        <w:tc>
          <w:tcPr>
            <w:tcW w:type="pct" w:w="27%"/>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Slides 11–13</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1:45–2:05</w:t>
            </w:r>
          </w:p>
        </w:tc>
        <w:tc>
          <w:tcPr>
            <w:tcW w:type="pct" w:w="55%"/>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Opdracht 26.2</w:t>
            </w:r>
          </w:p>
        </w:tc>
        <w:tc>
          <w:tcPr>
            <w:tcW w:type="pct" w:w="27%"/>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In tweetallen</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2:05–2:20</w:t>
            </w:r>
          </w:p>
        </w:tc>
        <w:tc>
          <w:tcPr>
            <w:tcW w:type="pct" w:w="5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Pauze</w:t>
            </w:r>
          </w:p>
        </w:tc>
        <w:tc>
          <w:tcPr>
            <w:tcW w:type="pct" w:w="27%"/>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2:20–2:40</w:t>
            </w:r>
          </w:p>
        </w:tc>
        <w:tc>
          <w:tcPr>
            <w:tcW w:type="pct" w:w="55%"/>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VaR, wat het niet zegt</w:t>
            </w:r>
          </w:p>
        </w:tc>
        <w:tc>
          <w:tcPr>
            <w:tcW w:type="pct" w:w="27%"/>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Slides 14–15</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2:40–3:05</w:t>
            </w:r>
          </w:p>
        </w:tc>
        <w:tc>
          <w:tcPr>
            <w:tcW w:type="pct" w:w="5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De vijf vragen, Kernzin 19</w:t>
            </w:r>
          </w:p>
        </w:tc>
        <w:tc>
          <w:tcPr>
            <w:tcW w:type="pct" w:w="27%"/>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Slides 16–19</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3:05–3:25</w:t>
            </w:r>
          </w:p>
        </w:tc>
        <w:tc>
          <w:tcPr>
            <w:tcW w:type="pct" w:w="55%"/>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Toegepast op de transitiemodellen, opdracht 26.3 gestart</w:t>
            </w:r>
          </w:p>
        </w:tc>
        <w:tc>
          <w:tcPr>
            <w:tcW w:type="pct" w:w="27%"/>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Slides 20–21</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3:25–3:30</w:t>
            </w:r>
          </w:p>
        </w:tc>
        <w:tc>
          <w:tcPr>
            <w:tcW w:type="pct" w:w="5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Vooruitblik deel 27</w:t>
            </w:r>
          </w:p>
        </w:tc>
        <w:tc>
          <w:tcPr>
            <w:tcW w:type="pct" w:w="27%"/>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Slide 22</w:t>
            </w:r>
          </w:p>
        </w:tc>
      </w:tr>
    </w:tbl>
    <w:p>
      <w:pPr>
        <w:spacing w:after="180" w:line="300"/>
        <w:jc w:val="both"/>
      </w:pPr>
      <w:r>
        <w:rPr>
          <w:rFonts w:ascii="Calibri" w:cs="Calibri" w:eastAsia="Calibri" w:hAnsi="Calibri"/>
          <w:color w:val="1A1A1A"/>
          <w:sz w:val="21"/>
          <w:szCs w:val="21"/>
        </w:rPr>
        <w:t xml:space="preserve">Huiswerk voor deel 27: opdracht 26.3 afronden.</w:t>
      </w:r>
    </w:p>
    <w:p>
      <w:pPr>
        <w:pStyle w:val="Heading2"/>
        <w:spacing w:after="160" w:before="360"/>
      </w:pPr>
      <w:r>
        <w:rPr>
          <w:rFonts w:ascii="Calibri" w:cs="Calibri" w:eastAsia="Calibri" w:hAnsi="Calibri"/>
          <w:b/>
          <w:bCs/>
          <w:color w:val="2C5AA0"/>
          <w:sz w:val="26"/>
          <w:szCs w:val="26"/>
        </w:rPr>
        <w:t xml:space="preserve">Valkuilen bij de uitleg</w:t>
      </w:r>
    </w:p>
    <w:p>
      <w:pPr>
        <w:pStyle w:val="ListParagraph"/>
        <w:numPr>
          <w:ilvl w:val="0"/>
          <w:numId w:val="2"/>
        </w:numPr>
        <w:spacing w:after="100" w:line="280"/>
      </w:pPr>
      <w:r>
        <w:rPr>
          <w:rFonts w:ascii="Calibri" w:cs="Calibri" w:eastAsia="Calibri" w:hAnsi="Calibri"/>
          <w:color w:val="1A1A1A"/>
          <w:sz w:val="21"/>
          <w:szCs w:val="21"/>
        </w:rPr>
        <w:t xml:space="preserve">De vijf risico's te uitgebreid technisch behandelen. Dit is geen actuariële cursus. Houd elke uitleg bij de kernvraag, niet bij de onderliggende wiskunde.</w:t>
      </w:r>
    </w:p>
    <w:p>
      <w:pPr>
        <w:pStyle w:val="ListParagraph"/>
        <w:numPr>
          <w:ilvl w:val="0"/>
          <w:numId w:val="2"/>
        </w:numPr>
        <w:spacing w:after="100" w:line="280"/>
      </w:pPr>
      <w:r>
        <w:rPr>
          <w:rFonts w:ascii="Calibri" w:cs="Calibri" w:eastAsia="Calibri" w:hAnsi="Calibri"/>
          <w:color w:val="1A1A1A"/>
          <w:sz w:val="21"/>
          <w:szCs w:val="21"/>
        </w:rPr>
        <w:t xml:space="preserve">Aggregatie laten voelen als ‘gewoon nog een rekenregel’. Het inzicht dat optellen hier juist overschat (in tegenstelling tot deel 17, waar het onderschatte) is het scherpste leermoment van het deel — besteed er bewust tijd aan via opdracht 26.2, en trek de vergelijking met deel 17 expliciet.</w:t>
      </w:r>
    </w:p>
    <w:p>
      <w:pPr>
        <w:pStyle w:val="ListParagraph"/>
        <w:numPr>
          <w:ilvl w:val="0"/>
          <w:numId w:val="2"/>
        </w:numPr>
        <w:spacing w:after="100" w:line="280"/>
      </w:pPr>
      <w:r>
        <w:rPr>
          <w:rFonts w:ascii="Calibri" w:cs="Calibri" w:eastAsia="Calibri" w:hAnsi="Calibri"/>
          <w:color w:val="1A1A1A"/>
          <w:sz w:val="21"/>
          <w:szCs w:val="21"/>
        </w:rPr>
        <w:t xml:space="preserve">De vijf-vragen-set als ‘trucje’ laten voelen in plaats van als serieus instrument. Benadruk dat dit precies is wat DNB van een sleutelfunctiehouder verwacht (deel 24) — geen achterdocht om het achterdocht, maar een professionele, herhaalbare toetsingspraktijk.</w:t>
      </w:r>
    </w:p>
    <w:p>
      <w:pPr>
        <w:pStyle w:val="Heading2"/>
        <w:spacing w:after="160" w:before="360"/>
      </w:pPr>
      <w:r>
        <w:rPr>
          <w:rFonts w:ascii="Calibri" w:cs="Calibri" w:eastAsia="Calibri" w:hAnsi="Calibri"/>
          <w:b/>
          <w:bCs/>
          <w:color w:val="2C5AA0"/>
          <w:sz w:val="26"/>
          <w:szCs w:val="26"/>
        </w:rPr>
        <w:t xml:space="preserve">Bij welke groep werkt dit hoe</w:t>
      </w:r>
    </w:p>
    <w:p>
      <w:pPr>
        <w:spacing w:after="180" w:line="300"/>
        <w:jc w:val="both"/>
      </w:pPr>
      <w:r>
        <w:rPr>
          <w:rFonts w:ascii="Calibri" w:cs="Calibri" w:eastAsia="Calibri" w:hAnsi="Calibri"/>
          <w:color w:val="1A1A1A"/>
          <w:sz w:val="21"/>
          <w:szCs w:val="21"/>
        </w:rPr>
        <w:t xml:space="preserve">Deelnemers met een actuariële achtergrond kunnen de vijf risico's en aggregatielogica bevestigen en verdiepen — betrek hen, maar houd de nadruk op de toegankelijke, niet-technische toepassing voor de rest van de groep.</w:t>
      </w:r>
    </w:p>
    <w:p>
      <w:pPr>
        <w:spacing w:after="180" w:line="300"/>
        <w:jc w:val="both"/>
      </w:pPr>
      <w:r>
        <w:rPr>
          <w:rFonts w:ascii="Calibri" w:cs="Calibri" w:eastAsia="Calibri" w:hAnsi="Calibri"/>
          <w:color w:val="1A1A1A"/>
          <w:sz w:val="21"/>
          <w:szCs w:val="21"/>
        </w:rPr>
        <w:t xml:space="preserve">Deelnemers zonder financiële achtergrond, die zich onzeker voelen: dit deel is specifiek voor hen geschreven. Herhaal expliciet dat vakmanschap in het stellen van de juiste vraag een andere, evenwaardige vaardigheid is dan het kunnen bouwen van het model.</w:t>
      </w:r>
    </w:p>
    <w:p>
      <w:pPr>
        <w:spacing w:after="180" w:line="300"/>
        <w:jc w:val="both"/>
      </w:pPr>
      <w:r>
        <w:rPr>
          <w:rFonts w:ascii="Calibri" w:cs="Calibri" w:eastAsia="Calibri" w:hAnsi="Calibri"/>
          <w:color w:val="1A1A1A"/>
          <w:sz w:val="21"/>
          <w:szCs w:val="21"/>
        </w:rPr>
        <w:t xml:space="preserve">Deelnemers uit een bestuurlijke rol kunnen goed meedenken bij vraag 3 uit de vijf-vragen-set (vergelijking met andere instellingen) — vraag hen naar hun eigen ervaring met benchmarking.</w:t>
      </w:r>
    </w:p>
    <w:p>
      <w:pPr>
        <w:pStyle w:val="Heading2"/>
        <w:spacing w:after="160" w:before="360"/>
      </w:pPr>
      <w:r>
        <w:rPr>
          <w:rFonts w:ascii="Calibri" w:cs="Calibri" w:eastAsia="Calibri" w:hAnsi="Calibri"/>
          <w:b/>
          <w:bCs/>
          <w:color w:val="2C5AA0"/>
          <w:sz w:val="26"/>
          <w:szCs w:val="26"/>
        </w:rPr>
        <w:t xml:space="preserve">Discussievragen</w:t>
      </w:r>
    </w:p>
    <w:p>
      <w:pPr>
        <w:pStyle w:val="ListParagraph"/>
        <w:numPr>
          <w:ilvl w:val="0"/>
          <w:numId w:val="2"/>
        </w:numPr>
        <w:spacing w:after="100" w:line="280"/>
      </w:pPr>
      <w:r>
        <w:rPr>
          <w:rFonts w:ascii="Calibri" w:cs="Calibri" w:eastAsia="Calibri" w:hAnsi="Calibri"/>
          <w:color w:val="1A1A1A"/>
          <w:sz w:val="21"/>
          <w:szCs w:val="21"/>
        </w:rPr>
        <w:t xml:space="preserve">Voel jij je, vóór dit deel, zeker genoeg om een kwantitatief model in jouw organisatie kritisch te bevragen, ook als je de onderliggende berekening niet zelf kunt maken?</w:t>
      </w:r>
    </w:p>
    <w:p>
      <w:pPr>
        <w:pStyle w:val="ListParagraph"/>
        <w:numPr>
          <w:ilvl w:val="0"/>
          <w:numId w:val="2"/>
        </w:numPr>
        <w:spacing w:after="100" w:line="280"/>
      </w:pPr>
      <w:r>
        <w:rPr>
          <w:rFonts w:ascii="Calibri" w:cs="Calibri" w:eastAsia="Calibri" w:hAnsi="Calibri"/>
          <w:color w:val="1A1A1A"/>
          <w:sz w:val="21"/>
          <w:szCs w:val="21"/>
        </w:rPr>
        <w:t xml:space="preserve">Ken je een voorbeeld waarin een model nooit door een onafhankelijke partij is gevalideerd, simpelweg omdat niemand die vraag ooit stelde?</w:t>
      </w:r>
    </w:p>
    <w:p>
      <w:pPr>
        <w:pStyle w:val="ListParagraph"/>
        <w:numPr>
          <w:ilvl w:val="0"/>
          <w:numId w:val="2"/>
        </w:numPr>
        <w:spacing w:after="100" w:line="280"/>
      </w:pPr>
      <w:r>
        <w:rPr>
          <w:rFonts w:ascii="Calibri" w:cs="Calibri" w:eastAsia="Calibri" w:hAnsi="Calibri"/>
          <w:color w:val="1A1A1A"/>
          <w:sz w:val="21"/>
          <w:szCs w:val="21"/>
        </w:rPr>
        <w:t xml:space="preserve">Welke van de vijf vragen uit paragraaf 26.4 zou, toegepast op een model in jouw organisatie, waarschijnlijk het meest ongemakkelijke antwoord opleveren?</w:t>
      </w:r>
    </w:p>
    <w:p>
      <w:pPr>
        <w:pStyle w:val="Heading2"/>
        <w:spacing w:after="160" w:before="360"/>
      </w:pPr>
      <w:r>
        <w:rPr>
          <w:rFonts w:ascii="Calibri" w:cs="Calibri" w:eastAsia="Calibri" w:hAnsi="Calibri"/>
          <w:b/>
          <w:bCs/>
          <w:color w:val="2C5AA0"/>
          <w:sz w:val="26"/>
          <w:szCs w:val="26"/>
        </w:rPr>
        <w:t xml:space="preserve">Antwoordmodel voor de moeilijkste bespreking (opdracht 26.2)</w:t>
      </w:r>
    </w:p>
    <w:p>
      <w:pPr>
        <w:spacing w:after="180" w:line="300"/>
        <w:jc w:val="both"/>
      </w:pPr>
      <w:r>
        <w:rPr>
          <w:rFonts w:ascii="Calibri" w:cs="Calibri" w:eastAsia="Calibri" w:hAnsi="Calibri"/>
          <w:color w:val="1A1A1A"/>
          <w:sz w:val="21"/>
          <w:szCs w:val="21"/>
        </w:rPr>
        <w:t xml:space="preserve">Deelnemers concluderen soms dat ‘optellen dus altijd fout is, punt’ — een te grove generalisatie. Verfijn dit: optellen is fout omdat het altijd doet alsof risico's onafhankelijk zijn, en die aanname is soms te optimistisch (dan onderschat je, zoals in deel 17) en soms te pessimistisch (dan overschat je, zoals hier). De fout zit niet in de richting van de vertekening, maar in het structureel negeren van hoe risico's daadwerkelijk samenhangen — positief of negatief gecorreleerd. Vraag door: hoe zou je, zonder de precieze correlatiecijfers te kennen, toch een educated guess kunnen maken of optellen hier over- of onderschat? Denkrichting: als de risico's een gemeenschappelijke onderliggende oorzaak delen (zoals bij deel 17), verwacht je onderschatting bij optellen; als de risico's uit hun aard tegengesteld bewegen (bijvoorbeeld rente omhoog is goed voor het ene, slecht voor het andere), verwacht je overschatting.</w:t>
      </w:r>
    </w:p>
    <w:p>
      <w:pPr>
        <w:pStyle w:val="Heading2"/>
        <w:spacing w:after="160" w:before="360"/>
      </w:pPr>
      <w:r>
        <w:rPr>
          <w:rFonts w:ascii="Calibri" w:cs="Calibri" w:eastAsia="Calibri" w:hAnsi="Calibri"/>
          <w:b/>
          <w:bCs/>
          <w:color w:val="2C5AA0"/>
          <w:sz w:val="26"/>
          <w:szCs w:val="26"/>
        </w:rPr>
        <w:t xml:space="preserve">Materiaal</w:t>
      </w:r>
    </w:p>
    <w:p>
      <w:pPr>
        <w:pStyle w:val="ListParagraph"/>
        <w:numPr>
          <w:ilvl w:val="0"/>
          <w:numId w:val="2"/>
        </w:numPr>
        <w:spacing w:after="100" w:line="280"/>
      </w:pPr>
      <w:r>
        <w:rPr>
          <w:rFonts w:ascii="Calibri" w:cs="Calibri" w:eastAsia="Calibri" w:hAnsi="Calibri"/>
          <w:color w:val="1A1A1A"/>
          <w:sz w:val="21"/>
          <w:szCs w:val="21"/>
        </w:rPr>
        <w:t xml:space="preserve">De vijf-risico's-kaart (Figuur 26-1) als blijvend naslagwerk, eventueel als fysiek uitdeelkaartje.</w:t>
      </w:r>
    </w:p>
    <w:p>
      <w:pPr>
        <w:pStyle w:val="ListParagraph"/>
        <w:numPr>
          <w:ilvl w:val="0"/>
          <w:numId w:val="2"/>
        </w:numPr>
        <w:spacing w:after="100" w:line="280"/>
      </w:pPr>
      <w:r>
        <w:rPr>
          <w:rFonts w:ascii="Calibri" w:cs="Calibri" w:eastAsia="Calibri" w:hAnsi="Calibri"/>
          <w:color w:val="1A1A1A"/>
          <w:sz w:val="21"/>
          <w:szCs w:val="21"/>
        </w:rPr>
        <w:t xml:space="preserve">De vijf-vragen-lijst (paragraaf 26.4) als apart uitdeelblad, bruikbaar buiten deze cursus in de eigen praktijk.</w:t>
      </w:r>
    </w:p>
    <w:p>
      <w:pPr>
        <w:pStyle w:val="Heading2"/>
        <w:spacing w:after="160" w:before="360"/>
      </w:pPr>
      <w:r>
        <w:rPr>
          <w:rFonts w:ascii="Calibri" w:cs="Calibri" w:eastAsia="Calibri" w:hAnsi="Calibri"/>
          <w:b/>
          <w:bCs/>
          <w:color w:val="2C5AA0"/>
          <w:sz w:val="26"/>
          <w:szCs w:val="26"/>
        </w:rPr>
        <w:t xml:space="preserve">Aansluiting op deel 27</w:t>
      </w:r>
    </w:p>
    <w:p>
      <w:pPr>
        <w:spacing w:after="180" w:line="300"/>
        <w:jc w:val="both"/>
      </w:pPr>
      <w:r>
        <w:rPr>
          <w:rFonts w:ascii="Calibri" w:cs="Calibri" w:eastAsia="Calibri" w:hAnsi="Calibri"/>
          <w:color w:val="1A1A1A"/>
          <w:sz w:val="21"/>
          <w:szCs w:val="21"/>
        </w:rPr>
        <w:t xml:space="preserve">Sluit af met: de vijf vragen uit dit deel toetsen een model op een gegeven moment. Deel 27 gaat een stap verder — wat gebeurt er met dat model onder stress, in scenario's die de normale aannames doorbreken, en hoe toets je het model zelf, niet alleen zijn uitkomsten?</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2026-08-17T06:58:16.674Z</dcterms:created>
  <dcterms:modified xsi:type="dcterms:W3CDTF">2026-08-17T06:58:16.675Z</dcterms:modified>
</cp:coreProperties>
</file>

<file path=docProps/custom.xml><?xml version="1.0" encoding="utf-8"?>
<Properties xmlns="http://schemas.openxmlformats.org/officeDocument/2006/custom-properties" xmlns:vt="http://schemas.openxmlformats.org/officeDocument/2006/docPropsVTypes"/>
</file>