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26 — Financieel risico voor niet-actuarissen</w:t>
      </w:r>
    </w:p>
    <w:p>
      <w:pPr>
        <w:spacing w:before="600"/>
        <w:jc w:val="center"/>
      </w:pPr>
      <w:r>
        <w:rPr>
          <w:rFonts w:ascii="Calibri" w:cs="Calibri" w:eastAsia="Calibri" w:hAnsi="Calibri"/>
          <w:b/>
          <w:bCs/>
          <w:color w:val="1B2A4A"/>
          <w:sz w:val="24"/>
          <w:szCs w:val="24"/>
        </w:rPr>
        <w:t xml:space="preserve">Niveau 3 — Expert</w:t>
      </w:r>
    </w:p>
    <w:p>
      <w:pPr>
        <w:spacing w:before="200"/>
        <w:jc w:val="center"/>
      </w:pPr>
      <w:r>
        <w:rPr>
          <w:rFonts w:ascii="Calibri" w:cs="Calibri" w:eastAsia="Calibri" w:hAnsi="Calibri"/>
          <w:i/>
          <w:iCs/>
          <w:color w:val="D99A3D"/>
          <w:sz w:val="24"/>
          <w:szCs w:val="24"/>
        </w:rPr>
        <w:t xml:space="preserve">Werkboek</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26 — Werkboek</w:t>
      </w:r>
    </w:p>
    <w:p>
      <w:pPr>
        <w:spacing w:after="180" w:line="300"/>
        <w:jc w:val="both"/>
      </w:pPr>
      <w:r>
        <w:rPr>
          <w:rFonts w:ascii="Calibri" w:cs="Calibri" w:eastAsia="Calibri" w:hAnsi="Calibri"/>
          <w:i/>
          <w:iCs/>
          <w:color w:val="1A1A1A"/>
          <w:sz w:val="21"/>
          <w:szCs w:val="21"/>
        </w:rPr>
        <w:t xml:space="preserve">Werk de opdrachten uit vóórdat je de uitwerking leest.</w:t>
      </w:r>
    </w:p>
    <w:p>
      <w:pPr>
        <w:pStyle w:val="Heading2"/>
        <w:spacing w:after="160" w:before="360"/>
      </w:pPr>
      <w:r>
        <w:rPr>
          <w:rFonts w:ascii="Calibri" w:cs="Calibri" w:eastAsia="Calibri" w:hAnsi="Calibri"/>
          <w:b/>
          <w:bCs/>
          <w:color w:val="2C5AA0"/>
          <w:sz w:val="26"/>
          <w:szCs w:val="26"/>
        </w:rPr>
        <w:t xml:space="preserve">Opdracht 26.1 — Welk risico, welke kernvraag?</w:t>
      </w:r>
    </w:p>
    <w:p>
      <w:pPr>
        <w:spacing w:after="180" w:line="300"/>
        <w:jc w:val="both"/>
      </w:pPr>
      <w:r>
        <w:rPr>
          <w:rFonts w:ascii="Calibri" w:cs="Calibri" w:eastAsia="Calibri" w:hAnsi="Calibri"/>
          <w:color w:val="1A1A1A"/>
          <w:sz w:val="21"/>
          <w:szCs w:val="21"/>
        </w:rPr>
        <w:t xml:space="preserve">Koppel elk scenario aan één van de vijf financiële risico's uit paragraaf 26.1, en formuleer de bijbehorende kernvraag toegepast op dat scenario.</w:t>
      </w:r>
    </w:p>
    <w:p>
      <w:pPr>
        <w:spacing w:after="180" w:line="300"/>
        <w:jc w:val="both"/>
      </w:pPr>
      <w:r>
        <w:rPr>
          <w:rFonts w:ascii="Calibri" w:cs="Calibri" w:eastAsia="Calibri" w:hAnsi="Calibri"/>
          <w:color w:val="1A1A1A"/>
          <w:sz w:val="21"/>
          <w:szCs w:val="21"/>
        </w:rPr>
        <w:t xml:space="preserve">a. Meridiaan houdt veel obligaties aan van één bank.</w:t>
      </w:r>
    </w:p>
    <w:p>
      <w:pPr>
        <w:spacing w:after="180" w:line="300"/>
        <w:jc w:val="both"/>
      </w:pPr>
      <w:r>
        <w:rPr>
          <w:rFonts w:ascii="Calibri" w:cs="Calibri" w:eastAsia="Calibri" w:hAnsi="Calibri"/>
          <w:color w:val="1A1A1A"/>
          <w:sz w:val="21"/>
          <w:szCs w:val="21"/>
        </w:rPr>
        <w:t xml:space="preserve">b. Deelnemers blijken de laatste jaren gemiddeld langer te leven dan de gehanteerde tafel voorspelde.</w:t>
      </w:r>
    </w:p>
    <w:p>
      <w:pPr>
        <w:spacing w:after="180" w:line="300"/>
        <w:jc w:val="both"/>
      </w:pPr>
      <w:r>
        <w:rPr>
          <w:rFonts w:ascii="Calibri" w:cs="Calibri" w:eastAsia="Calibri" w:hAnsi="Calibri"/>
          <w:color w:val="1A1A1A"/>
          <w:sz w:val="21"/>
          <w:szCs w:val="21"/>
        </w:rPr>
        <w:t xml:space="preserve">c. Een aandelenmarktdaling van 20% raakt de beleggingsportefeuille direct.</w:t>
      </w:r>
    </w:p>
    <w:p>
      <w:pPr>
        <w:spacing w:after="180" w:line="300"/>
        <w:jc w:val="both"/>
      </w:pPr>
      <w:r>
        <w:rPr>
          <w:rFonts w:ascii="Calibri" w:cs="Calibri" w:eastAsia="Calibri" w:hAnsi="Calibri"/>
          <w:color w:val="1A1A1A"/>
          <w:sz w:val="21"/>
          <w:szCs w:val="21"/>
        </w:rPr>
        <w:t xml:space="preserve">d. Meridiaan moet op korte termijn een grote uitkering doen, terwijl de beleggingen niet snel genoeg liquide te maken zijn.</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a. Kredietrisico — ‘hoe geconcentreerd is onze blootstelling aan deze ene bank?’
b. Langlevenrisico — ‘is de gehanteerde prognosetafel nog actueel, en wanneer is dat voor het laatst getoetst?’
c. Marktrisico — ‘hoe gevoelig is onze positie voor deze schok, en is dat recentelijk getoetst?’
d. Liquiditeitsrisico — ‘wat gebeurt er met onze kasstroompositie in dit scenario, los van solvabiliteit op papier?’</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26.2 — Optellen: over- of onderschatting?</w:t>
      </w:r>
    </w:p>
    <w:p>
      <w:pPr>
        <w:spacing w:after="180" w:line="300"/>
        <w:jc w:val="both"/>
      </w:pPr>
      <w:r>
        <w:rPr>
          <w:rFonts w:ascii="Calibri" w:cs="Calibri" w:eastAsia="Calibri" w:hAnsi="Calibri"/>
          <w:color w:val="1A1A1A"/>
          <w:sz w:val="21"/>
          <w:szCs w:val="21"/>
        </w:rPr>
        <w:t xml:space="preserve">Leg uit waarom simpel optellen van vijf financiële risicokapitalen tot een ándere fout leidt dan simpel optellen van de risicoscores uit deel 17 (niveau 2) — en wat beide fouten toch gemeen hebben.</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In deel 17 leidde optellen tot onderschatting van het gezamenlijke risico, omdat gemeenschappelijke oorzaken en correlatie werden genegeerd — risico's die in werkelijkheid vaker tegelijk optreden dan de som van hun losse scores suggereert. Bij financiële risicokapitalen leidt simpel optellen juist tot overschatting, omdat de vijf risico's niet allemaal tegelijk in dezelfde richting bewegen — een deel van hun onzekerheid ‘compenseert’ elkaar statistisch, en die diversificatie gaat verloren als je gewoon optelt.
Wat beide gemeen hebben: in beide gevallen is de fout het negeren van correlatie. Of het optellen tot over- of onderschatting leidt, hangt af van of de onderliggende risico's positief of negatief met elkaar samenhangen — maar de onderliggende denkfout (doen alsof risico's onafhankelijk zijn) is identiek.</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26.3 — Stel de vijf vragen</w:t>
      </w:r>
    </w:p>
    <w:p>
      <w:pPr>
        <w:spacing w:after="180" w:line="300"/>
        <w:jc w:val="both"/>
      </w:pPr>
      <w:r>
        <w:rPr>
          <w:rFonts w:ascii="Calibri" w:cs="Calibri" w:eastAsia="Calibri" w:hAnsi="Calibri"/>
          <w:color w:val="1A1A1A"/>
          <w:sz w:val="21"/>
          <w:szCs w:val="21"/>
        </w:rPr>
        <w:t xml:space="preserve">Kies een model of prognose uit je eigen praktijk (bijvoorbeeld een begroting, een capaciteitsplanning, of iets anders kwantitatiefs waar je niet zelf de bouwer van bent). Pas de vijf vragen uit paragraaf 26.4 erop toe.</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Geen vast antwoord — toepassingsopdracht. Controleer bij nakijken of elke vraag daadwerkelijk is beantwoord met een concreet gegeven (een datum, een naam, een vergelijking), niet met een aanname dat het model wel in orde zal zijn. Vraag 5 (validatie door een onafhankelijke partij) blijkt in de praktijk vaak het lastigst te beantwoorden — dat is zelf een nuttige constatering.</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Zelftoets deel 26</w:t>
      </w:r>
    </w:p>
    <w:p>
      <w:pPr>
        <w:pStyle w:val="ListParagraph"/>
        <w:numPr>
          <w:ilvl w:val="0"/>
          <w:numId w:val="2"/>
        </w:numPr>
        <w:spacing w:after="100" w:line="280"/>
      </w:pPr>
      <w:r>
        <w:rPr>
          <w:rFonts w:ascii="Calibri" w:cs="Calibri" w:eastAsia="Calibri" w:hAnsi="Calibri"/>
          <w:color w:val="1A1A1A"/>
          <w:sz w:val="21"/>
          <w:szCs w:val="21"/>
        </w:rPr>
        <w:t xml:space="preserve">1. Noem de vijf financiële risico's en hun kernvraag.</w:t>
      </w:r>
    </w:p>
    <w:p>
      <w:pPr>
        <w:pStyle w:val="ListParagraph"/>
        <w:numPr>
          <w:ilvl w:val="0"/>
          <w:numId w:val="2"/>
        </w:numPr>
        <w:spacing w:after="100" w:line="280"/>
      </w:pPr>
      <w:r>
        <w:rPr>
          <w:rFonts w:ascii="Calibri" w:cs="Calibri" w:eastAsia="Calibri" w:hAnsi="Calibri"/>
          <w:color w:val="1A1A1A"/>
          <w:sz w:val="21"/>
          <w:szCs w:val="21"/>
        </w:rPr>
        <w:t xml:space="preserve">2. Wat is risicokapitaal, en waarom is aggregatie nodig in plaats van simpel optellen?</w:t>
      </w:r>
    </w:p>
    <w:p>
      <w:pPr>
        <w:pStyle w:val="ListParagraph"/>
        <w:numPr>
          <w:ilvl w:val="0"/>
          <w:numId w:val="2"/>
        </w:numPr>
        <w:spacing w:after="100" w:line="280"/>
      </w:pPr>
      <w:r>
        <w:rPr>
          <w:rFonts w:ascii="Calibri" w:cs="Calibri" w:eastAsia="Calibri" w:hAnsi="Calibri"/>
          <w:color w:val="1A1A1A"/>
          <w:sz w:val="21"/>
          <w:szCs w:val="21"/>
        </w:rPr>
        <w:t xml:space="preserve">3. Wat is Value at Risk (VaR), en wat zegt het niet?</w:t>
      </w:r>
    </w:p>
    <w:p>
      <w:pPr>
        <w:pStyle w:val="ListParagraph"/>
        <w:numPr>
          <w:ilvl w:val="0"/>
          <w:numId w:val="2"/>
        </w:numPr>
        <w:spacing w:after="100" w:line="280"/>
      </w:pPr>
      <w:r>
        <w:rPr>
          <w:rFonts w:ascii="Calibri" w:cs="Calibri" w:eastAsia="Calibri" w:hAnsi="Calibri"/>
          <w:color w:val="1A1A1A"/>
          <w:sz w:val="21"/>
          <w:szCs w:val="21"/>
        </w:rPr>
        <w:t xml:space="preserve">4. Wat is kernzin 19?</w:t>
      </w:r>
    </w:p>
    <w:p>
      <w:pPr>
        <w:pStyle w:val="ListParagraph"/>
        <w:numPr>
          <w:ilvl w:val="0"/>
          <w:numId w:val="2"/>
        </w:numPr>
        <w:spacing w:after="100" w:line="280"/>
      </w:pPr>
      <w:r>
        <w:rPr>
          <w:rFonts w:ascii="Calibri" w:cs="Calibri" w:eastAsia="Calibri" w:hAnsi="Calibri"/>
          <w:color w:val="1A1A1A"/>
          <w:sz w:val="21"/>
          <w:szCs w:val="21"/>
        </w:rPr>
        <w:t xml:space="preserve">5. Noem de vijf vragen om een model te bevragen zonder het zelf te kunnen bouwen.</w:t>
      </w:r>
    </w:p>
    <w:p>
      <w:pPr>
        <w:pStyle w:val="ListParagraph"/>
        <w:numPr>
          <w:ilvl w:val="0"/>
          <w:numId w:val="2"/>
        </w:numPr>
        <w:spacing w:after="100" w:line="280"/>
      </w:pPr>
      <w:r>
        <w:rPr>
          <w:rFonts w:ascii="Calibri" w:cs="Calibri" w:eastAsia="Calibri" w:hAnsi="Calibri"/>
          <w:color w:val="1A1A1A"/>
          <w:sz w:val="21"/>
          <w:szCs w:val="21"/>
        </w:rPr>
        <w:t xml:space="preserve">6. Welk concreet aandachtspunt vond Sanne bij het transitiemodel, en via welke vraag?</w:t>
      </w:r>
    </w:p>
    <w:p>
      <w:pPr>
        <w:pStyle w:val="Heading2"/>
        <w:spacing w:after="160" w:before="360"/>
      </w:pPr>
      <w:r>
        <w:rPr>
          <w:rFonts w:ascii="Calibri" w:cs="Calibri" w:eastAsia="Calibri" w:hAnsi="Calibri"/>
          <w:b/>
          <w:bCs/>
          <w:color w:val="2C5AA0"/>
          <w:sz w:val="26"/>
          <w:szCs w:val="26"/>
        </w:rPr>
        <w:t xml:space="preserve">Antwoorden zelftoets</w:t>
      </w:r>
    </w:p>
    <w:p>
      <w:pPr>
        <w:spacing w:after="180" w:line="300"/>
        <w:jc w:val="both"/>
      </w:pPr>
      <w:r>
        <w:rPr>
          <w:rFonts w:ascii="Calibri" w:cs="Calibri" w:eastAsia="Calibri" w:hAnsi="Calibri"/>
          <w:color w:val="1A1A1A"/>
          <w:sz w:val="21"/>
          <w:szCs w:val="21"/>
        </w:rPr>
        <w:t xml:space="preserve">1. Marktrisico (hoe gevoelig voor een marktschok?), renterisico (zijn verplichtingen en beleggingen voldoende gematcht?), kredietrisico (hoe geconcentreerd de blootstelling aan één tegenpartij?), langlevenrisico (is de prognosetafel actueel?), liquiditeitsrisico (wat gebeurt er met de kasstroompositie in een stressscenario?).</w:t>
      </w:r>
    </w:p>
    <w:p>
      <w:pPr>
        <w:spacing w:after="180" w:line="300"/>
        <w:jc w:val="both"/>
      </w:pPr>
      <w:r>
        <w:rPr>
          <w:rFonts w:ascii="Calibri" w:cs="Calibri" w:eastAsia="Calibri" w:hAnsi="Calibri"/>
          <w:color w:val="1A1A1A"/>
          <w:sz w:val="21"/>
          <w:szCs w:val="21"/>
        </w:rPr>
        <w:t xml:space="preserve">2. Risicokapitaal is het bedrag dat een verzekeraar moet aanhouden om met gegeven zekerheid aan haar verplichtingen te voldoen. Aggregatie is nodig omdat de vijf risico's niet allemaal tegelijk in dezelfde richting bewegen; simpel optellen zou het totaal overschatten.</w:t>
      </w:r>
    </w:p>
    <w:p>
      <w:pPr>
        <w:spacing w:after="180" w:line="300"/>
        <w:jc w:val="both"/>
      </w:pPr>
      <w:r>
        <w:rPr>
          <w:rFonts w:ascii="Calibri" w:cs="Calibri" w:eastAsia="Calibri" w:hAnsi="Calibri"/>
          <w:color w:val="1A1A1A"/>
          <w:sz w:val="21"/>
          <w:szCs w:val="21"/>
        </w:rPr>
        <w:t xml:space="preserve">3. VaR is het verliesbedrag dat, met een gegeven waarschijnlijkheid, niet wordt overschreden binnen een periode. Het zegt niets over wat er gebeurt in het resterende percentage scenario's daarbuiten.</w:t>
      </w:r>
    </w:p>
    <w:p>
      <w:pPr>
        <w:spacing w:after="180" w:line="300"/>
        <w:jc w:val="both"/>
      </w:pPr>
      <w:r>
        <w:rPr>
          <w:rFonts w:ascii="Calibri" w:cs="Calibri" w:eastAsia="Calibri" w:hAnsi="Calibri"/>
          <w:color w:val="1A1A1A"/>
          <w:sz w:val="21"/>
          <w:szCs w:val="21"/>
        </w:rPr>
        <w:t xml:space="preserve">4. Je hoeft een model niet te kunnen bouwen om het te mogen wantrouwen — je moet alleen weten welke vraag de aanname blootlegt.</w:t>
      </w:r>
    </w:p>
    <w:p>
      <w:pPr>
        <w:spacing w:after="180" w:line="300"/>
        <w:jc w:val="both"/>
      </w:pPr>
      <w:r>
        <w:rPr>
          <w:rFonts w:ascii="Calibri" w:cs="Calibri" w:eastAsia="Calibri" w:hAnsi="Calibri"/>
          <w:color w:val="1A1A1A"/>
          <w:sz w:val="21"/>
          <w:szCs w:val="21"/>
        </w:rPr>
        <w:t xml:space="preserve">5. Wat zijn de belangrijkste aannames en wanneer zijn ze herzien; is er een alternatieve, even plausibele aanname met een ander resultaat; hoe verhoudt dit zich tot vergelijkbare instellingen; wat gebeurt er bij 10% afwijking van de meest onzekere aanname; is het model gevalideerd door een onafhankelijke partij.</w:t>
      </w:r>
    </w:p>
    <w:p>
      <w:pPr>
        <w:spacing w:after="180" w:line="300"/>
        <w:jc w:val="both"/>
      </w:pPr>
      <w:r>
        <w:rPr>
          <w:rFonts w:ascii="Calibri" w:cs="Calibri" w:eastAsia="Calibri" w:hAnsi="Calibri"/>
          <w:color w:val="1A1A1A"/>
          <w:sz w:val="21"/>
          <w:szCs w:val="21"/>
        </w:rPr>
        <w:t xml:space="preserve">6. Het gehanteerde projectierendement ligt aan de bovenkant van wat vergelijkbare uitvoerders hanteren, gevonden via vraag 2 (een alternatieve, even plausibele aanname die tot een wezenlijk ander resultaat leidt).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2026-08-17T06:58:16.477Z</dcterms:created>
  <dcterms:modified xsi:type="dcterms:W3CDTF">2026-08-17T06:58:16.478Z</dcterms:modified>
</cp:coreProperties>
</file>

<file path=docProps/custom.xml><?xml version="1.0" encoding="utf-8"?>
<Properties xmlns="http://schemas.openxmlformats.org/officeDocument/2006/custom-properties" xmlns:vt="http://schemas.openxmlformats.org/officeDocument/2006/docPropsVTypes"/>
</file>