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27 — Scenario's, stresstesten, ORSA/ERB en modelrisico</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27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deel is een scharnierpunt richting de masterproef: het omgekeerde-stresstest-scenario uit paragraaf 27.2 is niet zomaar een oefening, het is het scenario dat in deel 30 concreet wordt. Behandel het daarom met zorg — niet door het al expliciet als ‘de masterproef’ aan te kondigen, maar door het zijn volle gewicht te geven als serieuze bevinding.</w:t>
      </w:r>
    </w:p>
    <w:p>
      <w:pPr>
        <w:spacing w:after="180" w:line="300"/>
        <w:jc w:val="both"/>
      </w:pPr>
      <w:r>
        <w:rPr>
          <w:rFonts w:ascii="Calibri" w:cs="Calibri" w:eastAsia="Calibri" w:hAnsi="Calibri"/>
          <w:color w:val="1A1A1A"/>
          <w:sz w:val="21"/>
          <w:szCs w:val="21"/>
        </w:rPr>
        <w:t xml:space="preserve">Dit deel brengt ook veel losse draden van niveau 3 samen: het BCM-hiaat uit deel 25, de aandacht voor plausibiliteitscontrole uit deel 24, en de vijf-vragen-set uit deel 26 komen hier allemaal terug in Sanne's ORSA-bijdrage. Maak dat integrerende karakter zichtbaar.</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scenario-analyse en stresstesten van elkaar onderscheiden en op een gegeven oefening toepassen</w:t>
      </w:r>
    </w:p>
    <w:p>
      <w:pPr>
        <w:pStyle w:val="ListParagraph"/>
        <w:numPr>
          <w:ilvl w:val="0"/>
          <w:numId w:val="2"/>
        </w:numPr>
        <w:spacing w:after="100" w:line="280"/>
      </w:pPr>
      <w:r>
        <w:rPr>
          <w:rFonts w:ascii="Calibri" w:cs="Calibri" w:eastAsia="Calibri" w:hAnsi="Calibri"/>
          <w:color w:val="1A1A1A"/>
          <w:sz w:val="21"/>
          <w:szCs w:val="21"/>
        </w:rPr>
        <w:t xml:space="preserve">een omgekeerde stresstest formuleren voor een gegeven organisatie</w:t>
      </w:r>
    </w:p>
    <w:p>
      <w:pPr>
        <w:pStyle w:val="ListParagraph"/>
        <w:numPr>
          <w:ilvl w:val="0"/>
          <w:numId w:val="2"/>
        </w:numPr>
        <w:spacing w:after="100" w:line="280"/>
      </w:pPr>
      <w:r>
        <w:rPr>
          <w:rFonts w:ascii="Calibri" w:cs="Calibri" w:eastAsia="Calibri" w:hAnsi="Calibri"/>
          <w:color w:val="1A1A1A"/>
          <w:sz w:val="21"/>
          <w:szCs w:val="21"/>
        </w:rPr>
        <w:t xml:space="preserve">ORSA en ERB elk correct toelichten, inclusief hun gedeelde principe rond een belangrijke wijziging van het risicoprofiel</w:t>
      </w:r>
    </w:p>
    <w:p>
      <w:pPr>
        <w:pStyle w:val="ListParagraph"/>
        <w:numPr>
          <w:ilvl w:val="0"/>
          <w:numId w:val="2"/>
        </w:numPr>
        <w:spacing w:after="100" w:line="280"/>
      </w:pPr>
      <w:r>
        <w:rPr>
          <w:rFonts w:ascii="Calibri" w:cs="Calibri" w:eastAsia="Calibri" w:hAnsi="Calibri"/>
          <w:color w:val="1A1A1A"/>
          <w:sz w:val="21"/>
          <w:szCs w:val="21"/>
        </w:rPr>
        <w:t xml:space="preserve">modelrisico en modelvalidatie definiëren en Kernzin 20 toepassen</w:t>
      </w:r>
    </w:p>
    <w:p>
      <w:pPr>
        <w:pStyle w:val="ListParagraph"/>
        <w:numPr>
          <w:ilvl w:val="0"/>
          <w:numId w:val="2"/>
        </w:numPr>
        <w:spacing w:after="100" w:line="280"/>
      </w:pPr>
      <w:r>
        <w:rPr>
          <w:rFonts w:ascii="Calibri" w:cs="Calibri" w:eastAsia="Calibri" w:hAnsi="Calibri"/>
          <w:color w:val="1A1A1A"/>
          <w:sz w:val="21"/>
          <w:szCs w:val="21"/>
        </w:rPr>
        <w:t xml:space="preserve">de samenhang zien tussen eerdere bevindingen (BCM-hiaat, plausibiliteitscontrole) en een geïntegreerde ORSA-bijdrage</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5142"/>
        <w:gridCol w:w="2524"/>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27%"/>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Terugblik deel 26, de onbeantwoorde vraag over de 0,5%</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3–4</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0:15–0:40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Scenario-analyse versus stresstest</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5–7, opdracht 27.1</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0:40–1:10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omgekeerde stresstest</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8–10</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1:10–1:25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1:25–1:50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Opdracht 27.2</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Individueel, dan in tweetallen delen</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1:50–2:20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ORSA en ERB naast elkaar, opdracht 27.3</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11–14</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2:20–2:35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2:35–3:00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Modelrisico en modelvalidatie, Kernzin 20</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15–17</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3:00–3:20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Sanne's ORSA-bijdrage, de conclusie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18–19</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3:20–3:30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Vooruitblik deel 28</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 20</w:t>
            </w:r>
          </w:p>
        </w:tc>
      </w:tr>
    </w:tbl>
    <w:p>
      <w:pPr>
        <w:spacing w:after="180" w:line="300"/>
        <w:jc w:val="both"/>
      </w:pPr>
      <w:r>
        <w:rPr>
          <w:rFonts w:ascii="Calibri" w:cs="Calibri" w:eastAsia="Calibri" w:hAnsi="Calibri"/>
          <w:color w:val="1A1A1A"/>
          <w:sz w:val="21"/>
          <w:szCs w:val="21"/>
        </w:rPr>
        <w:t xml:space="preserve">Huiswerk voor deel 28: geen nieuwe formele opdracht; vraag deelnemers na te denken over hoe zij zouden reageren als hun eigen, goed onderbouwde conclusie (zoals Sanne's ‘nog niet klaar’) door het bestuur terzijde wordt geschoven zonder motivering.</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De omgekeerde stresstest te snel als ‘gewoon nog een techniek’ behandelen. Het is conceptueel de scherpste techniek in dit deel — de omkering van de vraag (beginnen bij falen, niet bij de schok) verdient echt tijd om te laten landen.</w:t>
      </w:r>
    </w:p>
    <w:p>
      <w:pPr>
        <w:pStyle w:val="ListParagraph"/>
        <w:numPr>
          <w:ilvl w:val="0"/>
          <w:numId w:val="2"/>
        </w:numPr>
        <w:spacing w:after="100" w:line="280"/>
      </w:pPr>
      <w:r>
        <w:rPr>
          <w:rFonts w:ascii="Calibri" w:cs="Calibri" w:eastAsia="Calibri" w:hAnsi="Calibri"/>
          <w:color w:val="1A1A1A"/>
          <w:sz w:val="21"/>
          <w:szCs w:val="21"/>
        </w:rPr>
        <w:t xml:space="preserve">ORSA en ERB als volledig identiek presenteren. Ze delen een principe, maar verschillen in wettelijke basis en frequentie. Wees hier precies, vooral voor deelnemers die met beide regimes te maken kunnen krijgen.</w:t>
      </w:r>
    </w:p>
    <w:p>
      <w:pPr>
        <w:pStyle w:val="ListParagraph"/>
        <w:numPr>
          <w:ilvl w:val="0"/>
          <w:numId w:val="2"/>
        </w:numPr>
        <w:spacing w:after="100" w:line="280"/>
      </w:pPr>
      <w:r>
        <w:rPr>
          <w:rFonts w:ascii="Calibri" w:cs="Calibri" w:eastAsia="Calibri" w:hAnsi="Calibri"/>
          <w:color w:val="1A1A1A"/>
          <w:sz w:val="21"/>
          <w:szCs w:val="21"/>
        </w:rPr>
        <w:t xml:space="preserve">Modelvalidatie afdoen als ‘gewoon nog een controle’. Het is de derde-lijns-toepassing op modellen specifiek — trek die parallel expliciet met interne audit uit deel 9 (niveau 1) en deel 21 (niveau 2), zodat deelnemers het patroon herkennen in plaats van het als nieuw, ongerelateerd begrip te leren.</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color w:val="1A1A1A"/>
          <w:sz w:val="21"/>
          <w:szCs w:val="21"/>
        </w:rPr>
        <w:t xml:space="preserve">Deelnemers met actuariële of risicomodelleringservaring kunnen goed meedenken bij modelvalidatie — vraag hen naar hun eigen ervaring met modellen die nooit onafhankelijk zijn getoetst.</w:t>
      </w:r>
    </w:p>
    <w:p>
      <w:pPr>
        <w:spacing w:after="180" w:line="300"/>
        <w:jc w:val="both"/>
      </w:pPr>
      <w:r>
        <w:rPr>
          <w:rFonts w:ascii="Calibri" w:cs="Calibri" w:eastAsia="Calibri" w:hAnsi="Calibri"/>
          <w:color w:val="1A1A1A"/>
          <w:sz w:val="21"/>
          <w:szCs w:val="21"/>
        </w:rPr>
        <w:t xml:space="preserve">Deelnemers met een strategische of bestuurlijke rol zijn goed gepositioneerd om de omgekeerde stresstest te beoordelen vanuit het perspectief ‘wat zou ons echt breken’ — betrek hen actief bij opdracht 27.2.</w:t>
      </w:r>
    </w:p>
    <w:p>
      <w:pPr>
        <w:spacing w:after="180" w:line="300"/>
        <w:jc w:val="both"/>
      </w:pPr>
      <w:r>
        <w:rPr>
          <w:rFonts w:ascii="Calibri" w:cs="Calibri" w:eastAsia="Calibri" w:hAnsi="Calibri"/>
          <w:color w:val="1A1A1A"/>
          <w:sz w:val="21"/>
          <w:szCs w:val="21"/>
        </w:rPr>
        <w:t xml:space="preserve">Deelnemers uit zowel de verzekeraars- als de fondswereld: gebruik hen bij opdracht 27.3 om elkaars regime te bevestigen en te verduidelijken.</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Heeft jouw organisatie ooit een omgekeerde stresstest uitgevoerd — beginnend bij ‘wat zou ons breken’ in plaats van bij een gegeven schok?</w:t>
      </w:r>
    </w:p>
    <w:p>
      <w:pPr>
        <w:pStyle w:val="ListParagraph"/>
        <w:numPr>
          <w:ilvl w:val="0"/>
          <w:numId w:val="2"/>
        </w:numPr>
        <w:spacing w:after="100" w:line="280"/>
      </w:pPr>
      <w:r>
        <w:rPr>
          <w:rFonts w:ascii="Calibri" w:cs="Calibri" w:eastAsia="Calibri" w:hAnsi="Calibri"/>
          <w:color w:val="1A1A1A"/>
          <w:sz w:val="21"/>
          <w:szCs w:val="21"/>
        </w:rPr>
        <w:t xml:space="preserve">Is er een model in jouw organisatie dat nooit door iemand anders dan de bouwer is getoetst?</w:t>
      </w:r>
    </w:p>
    <w:p>
      <w:pPr>
        <w:pStyle w:val="ListParagraph"/>
        <w:numPr>
          <w:ilvl w:val="0"/>
          <w:numId w:val="2"/>
        </w:numPr>
        <w:spacing w:after="100" w:line="280"/>
      </w:pPr>
      <w:r>
        <w:rPr>
          <w:rFonts w:ascii="Calibri" w:cs="Calibri" w:eastAsia="Calibri" w:hAnsi="Calibri"/>
          <w:color w:val="1A1A1A"/>
          <w:sz w:val="21"/>
          <w:szCs w:val="21"/>
        </w:rPr>
        <w:t xml:space="preserve">Wanneer heeft jouw organisatie voor het laatst een aanvullende risicobeoordeling gedaan naar aanleiding van een belangrijke wijziging (niet de reguliere jaarcyclus)?</w:t>
      </w:r>
    </w:p>
    <w:p>
      <w:pPr>
        <w:pStyle w:val="Heading2"/>
        <w:spacing w:after="160" w:before="360"/>
      </w:pPr>
      <w:r>
        <w:rPr>
          <w:rFonts w:ascii="Calibri" w:cs="Calibri" w:eastAsia="Calibri" w:hAnsi="Calibri"/>
          <w:b/>
          <w:bCs/>
          <w:color w:val="2C5AA0"/>
          <w:sz w:val="26"/>
          <w:szCs w:val="26"/>
        </w:rPr>
        <w:t xml:space="preserve">Antwoordmodel voor de moeilijkste bespreking (opdracht 27.2)</w:t>
      </w:r>
    </w:p>
    <w:p>
      <w:pPr>
        <w:spacing w:after="180" w:line="300"/>
        <w:jc w:val="both"/>
      </w:pPr>
      <w:r>
        <w:rPr>
          <w:rFonts w:ascii="Calibri" w:cs="Calibri" w:eastAsia="Calibri" w:hAnsi="Calibri"/>
          <w:color w:val="1A1A1A"/>
          <w:sz w:val="21"/>
          <w:szCs w:val="21"/>
        </w:rPr>
        <w:t xml:space="preserve">Deelnemers formuleren bij de omgekeerde stresstest soms een scenario dat te ver van de eigen praktijk afstaat om nuttig te zijn (bijvoorbeeld een zeer onwaarschijnlijke externe gebeurtenis). Stuur bij met de vraag: is dit het scenario dat ons het meest zou kunnen breken, of is het gewoon het meest dramatische scenario dat je kon bedenken? Een goede omgekeerde stresstest hoeft niet exotisch te zijn — vaak is het juist een combinatie van gewone, op zichzelf beheersbare risico's die tegelijk optreden (zoals bij Meridiaan: een externe uitval plus tijdsdruk, geen van beide op zichzelf ongewoon). Het scherpste inzicht komt vaak uit combinaties van bekende risico's, niet uit een nieuw, onwaarschijnlijk risico.</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De ORSA/ERB-vergelijkingstabel (Figuur 27-1) als uitdeelblad.</w:t>
      </w:r>
    </w:p>
    <w:p>
      <w:pPr>
        <w:pStyle w:val="ListParagraph"/>
        <w:numPr>
          <w:ilvl w:val="0"/>
          <w:numId w:val="2"/>
        </w:numPr>
        <w:spacing w:after="100" w:line="280"/>
      </w:pPr>
      <w:r>
        <w:rPr>
          <w:rFonts w:ascii="Calibri" w:cs="Calibri" w:eastAsia="Calibri" w:hAnsi="Calibri"/>
          <w:color w:val="1A1A1A"/>
          <w:sz w:val="21"/>
          <w:szCs w:val="21"/>
        </w:rPr>
        <w:t xml:space="preserve">Een tijdlijn van Sanne's eerdere bevindingen (BCM-hiaat deel 25, plausibiliteitspunt deel 26) als visuele samenvatting bij de bespreking van haar ORSA-bijdrage.</w:t>
      </w:r>
    </w:p>
    <w:p>
      <w:pPr>
        <w:pStyle w:val="Heading2"/>
        <w:spacing w:after="160" w:before="360"/>
      </w:pPr>
      <w:r>
        <w:rPr>
          <w:rFonts w:ascii="Calibri" w:cs="Calibri" w:eastAsia="Calibri" w:hAnsi="Calibri"/>
          <w:b/>
          <w:bCs/>
          <w:color w:val="2C5AA0"/>
          <w:sz w:val="26"/>
          <w:szCs w:val="26"/>
        </w:rPr>
        <w:t xml:space="preserve">Aansluiting op deel 28</w:t>
      </w:r>
    </w:p>
    <w:p>
      <w:pPr>
        <w:spacing w:after="180" w:line="300"/>
        <w:jc w:val="both"/>
      </w:pPr>
      <w:r>
        <w:rPr>
          <w:rFonts w:ascii="Calibri" w:cs="Calibri" w:eastAsia="Calibri" w:hAnsi="Calibri"/>
          <w:color w:val="1A1A1A"/>
          <w:sz w:val="21"/>
          <w:szCs w:val="21"/>
        </w:rPr>
        <w:t xml:space="preserve">Sluit af met: Sanne's conclusie is helder en goed onderbouwd. De vraag van deel 28 is wat er gebeurt als die conclusie het bestuur niet overtuigt — wanneer overtuigen overgaat in escaleren, en wanneer het wettelijke middel uit deel 23 daadwerkelijk wordt ingezet.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2026-08-17T07:01:55.719Z</dcterms:created>
  <dcterms:modified xsi:type="dcterms:W3CDTF">2026-08-17T07:01:55.720Z</dcterms:modified>
</cp:coreProperties>
</file>

<file path=docProps/custom.xml><?xml version="1.0" encoding="utf-8"?>
<Properties xmlns="http://schemas.openxmlformats.org/officeDocument/2006/custom-properties" xmlns:vt="http://schemas.openxmlformats.org/officeDocument/2006/docPropsVTypes"/>
</file>