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27 — Scenario's, stresstesten, ORSA/ERB en modelrisico</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27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27.1 — Scenario of stresstest?</w:t>
      </w:r>
    </w:p>
    <w:p>
      <w:pPr>
        <w:spacing w:after="180" w:line="300"/>
        <w:jc w:val="both"/>
      </w:pPr>
      <w:r>
        <w:rPr>
          <w:rFonts w:ascii="Calibri" w:cs="Calibri" w:eastAsia="Calibri" w:hAnsi="Calibri"/>
          <w:color w:val="1A1A1A"/>
          <w:sz w:val="21"/>
          <w:szCs w:val="21"/>
        </w:rPr>
        <w:t xml:space="preserve">Voor elk van de volgende oefeningen: is dit een scenario-analyse of een stresstest?</w:t>
      </w:r>
    </w:p>
    <w:p>
      <w:pPr>
        <w:spacing w:after="180" w:line="300"/>
        <w:jc w:val="both"/>
      </w:pPr>
      <w:r>
        <w:rPr>
          <w:rFonts w:ascii="Calibri" w:cs="Calibri" w:eastAsia="Calibri" w:hAnsi="Calibri"/>
          <w:color w:val="1A1A1A"/>
          <w:sz w:val="21"/>
          <w:szCs w:val="21"/>
        </w:rPr>
        <w:t xml:space="preserve">a. ‘Wat gebeurt er als de rente in één week met 2 procentpunt daalt?’</w:t>
      </w:r>
    </w:p>
    <w:p>
      <w:pPr>
        <w:spacing w:after="180" w:line="300"/>
        <w:jc w:val="both"/>
      </w:pPr>
      <w:r>
        <w:rPr>
          <w:rFonts w:ascii="Calibri" w:cs="Calibri" w:eastAsia="Calibri" w:hAnsi="Calibri"/>
          <w:color w:val="1A1A1A"/>
          <w:sz w:val="21"/>
          <w:szCs w:val="21"/>
        </w:rPr>
        <w:t xml:space="preserve">b. ‘Wat gebeurt er als de komende vijf jaar de rente geleidelijk daalt, de levensverwachting sneller stijgt dan verwacht, én de arbeidsmarkt krapper wordt waardoor onze operationele kosten stijgen?’</w:t>
      </w:r>
    </w:p>
    <w:p>
      <w:pPr>
        <w:spacing w:after="180" w:line="300"/>
        <w:jc w:val="both"/>
      </w:pPr>
      <w:r>
        <w:rPr>
          <w:rFonts w:ascii="Calibri" w:cs="Calibri" w:eastAsia="Calibri" w:hAnsi="Calibri"/>
          <w:color w:val="1A1A1A"/>
          <w:sz w:val="21"/>
          <w:szCs w:val="21"/>
        </w:rPr>
        <w:t xml:space="preserve">c. ‘Wat gebeurt er als 15% van onze beleggingsportefeuille in default gaat?’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Stresstest — één variabele, extreme waarde.
b. Scenario-analyse — een samenhangend verhaal met meerdere, onderling consistente aannames.
c. Stresstest — één variabele geïsoleerd.
Wat je hier moet meenemen: het aantal variabelen is de belangrijkste vuistregel, maar niet de enige — een scenario met slechts twee variabelen kan alsnog een scenario zijn als de twee expliciet als samenhangend verhaal worden gepresenteerd, in plaats van als twee losse, geïsoleerde schokken.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27.2 — Bouw een omgekeerde stresstest</w:t>
      </w:r>
    </w:p>
    <w:p>
      <w:pPr>
        <w:spacing w:after="180" w:line="300"/>
        <w:jc w:val="both"/>
      </w:pPr>
      <w:r>
        <w:rPr>
          <w:rFonts w:ascii="Calibri" w:cs="Calibri" w:eastAsia="Calibri" w:hAnsi="Calibri"/>
          <w:color w:val="1A1A1A"/>
          <w:sz w:val="21"/>
          <w:szCs w:val="21"/>
        </w:rPr>
        <w:t xml:space="preserve">Voor je eigen organisatie (of voor Meridiaan): formuleer een scenario dat de organisatie daadwerkelijk zou kunnen laten omvallen of ernstig in gevaar brengen. Beantwoord vervolgens: zien we op dit moment tekenen dat we die kant op bewegen?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Ter kalibratie, het Meridiaan-voorbeeld uit paragraaf 27.2: een langdurige uitval bij een kritieke externe partij, samenvallend met verhoogde druk op de transitietijdlijn. Tekenen dat de organisatie die kant op beweegt (indien van toepassing op de eigen praktijk): ontbrekende uitwijkplannen, toenemende afhankelijkheid van één partij, een tijdlijn die weinig marge laat voor tegenslag.
Wat je hier moet meenemen: de omgekeerde stresstest is het meest waardevol als hij niet bij een abstract, ver-van-mijn-bed-scenario uitkomt, maar bij iets dat, bij nadere beschouwing, dichterbij ligt dan comfortabel is.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27.3 — ORSA of ERB?</w:t>
      </w:r>
    </w:p>
    <w:p>
      <w:pPr>
        <w:spacing w:after="180" w:line="300"/>
        <w:jc w:val="both"/>
      </w:pPr>
      <w:r>
        <w:rPr>
          <w:rFonts w:ascii="Calibri" w:cs="Calibri" w:eastAsia="Calibri" w:hAnsi="Calibri"/>
          <w:color w:val="1A1A1A"/>
          <w:sz w:val="21"/>
          <w:szCs w:val="21"/>
        </w:rPr>
        <w:t xml:space="preserve">Voor elk van de volgende organisaties: welk instrument is van toepassing, ORSA of ERB?</w:t>
      </w:r>
    </w:p>
    <w:p>
      <w:pPr>
        <w:spacing w:after="180" w:line="300"/>
        <w:jc w:val="both"/>
      </w:pPr>
      <w:r>
        <w:rPr>
          <w:rFonts w:ascii="Calibri" w:cs="Calibri" w:eastAsia="Calibri" w:hAnsi="Calibri"/>
          <w:color w:val="1A1A1A"/>
          <w:sz w:val="21"/>
          <w:szCs w:val="21"/>
        </w:rPr>
        <w:t xml:space="preserve">a. Meridiaan, als verzekeraar.</w:t>
      </w:r>
    </w:p>
    <w:p>
      <w:pPr>
        <w:spacing w:after="180" w:line="300"/>
        <w:jc w:val="both"/>
      </w:pPr>
      <w:r>
        <w:rPr>
          <w:rFonts w:ascii="Calibri" w:cs="Calibri" w:eastAsia="Calibri" w:hAnsi="Calibri"/>
          <w:color w:val="1A1A1A"/>
          <w:sz w:val="21"/>
          <w:szCs w:val="21"/>
        </w:rPr>
        <w:t xml:space="preserve">b. Bpf Techniek &amp; Installatie, het bedrijfstakpensioenfonds uit de pensioenverzekeringscursus-casus.</w:t>
      </w:r>
    </w:p>
    <w:p>
      <w:pPr>
        <w:spacing w:after="180" w:line="300"/>
        <w:jc w:val="both"/>
      </w:pPr>
      <w:r>
        <w:rPr>
          <w:rFonts w:ascii="Calibri" w:cs="Calibri" w:eastAsia="Calibri" w:hAnsi="Calibri"/>
          <w:color w:val="1A1A1A"/>
          <w:sz w:val="21"/>
          <w:szCs w:val="21"/>
        </w:rPr>
        <w:t xml:space="preserve">c. Een premiepensioeninstelling (PPI).</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ORSA — Solvency II geldt voor verzekeraars.
b. ERB — artikel 18b Besluit Ftk geldt voor pensioenfondsen.
c. ERB — premiepensioeninstellingen vallen, net als pensioenfondsen, onder het pensioenfondsenkader, niet onder Solvency II.
Wat je hier moet meenemen: de vraag ‘ORSA of ERB’ is in essentie dezelfde vraag als in deel 23 (Solvency II of art. 143a Pw) — het hangt af van de hoedanigheid en het type instelling, niet van de inhoud van de risicobeoordeling zelf, die sterk vergelijkbaar is.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27</w:t>
      </w:r>
    </w:p>
    <w:p>
      <w:pPr>
        <w:pStyle w:val="ListParagraph"/>
        <w:numPr>
          <w:ilvl w:val="0"/>
          <w:numId w:val="2"/>
        </w:numPr>
        <w:spacing w:after="100" w:line="280"/>
      </w:pPr>
      <w:r>
        <w:rPr>
          <w:rFonts w:ascii="Calibri" w:cs="Calibri" w:eastAsia="Calibri" w:hAnsi="Calibri"/>
          <w:color w:val="1A1A1A"/>
          <w:sz w:val="21"/>
          <w:szCs w:val="21"/>
        </w:rPr>
        <w:t xml:space="preserve">1. Wat is het verschil tussen scenario-analyse en een stresstest?</w:t>
      </w:r>
    </w:p>
    <w:p>
      <w:pPr>
        <w:pStyle w:val="ListParagraph"/>
        <w:numPr>
          <w:ilvl w:val="0"/>
          <w:numId w:val="2"/>
        </w:numPr>
        <w:spacing w:after="100" w:line="280"/>
      </w:pPr>
      <w:r>
        <w:rPr>
          <w:rFonts w:ascii="Calibri" w:cs="Calibri" w:eastAsia="Calibri" w:hAnsi="Calibri"/>
          <w:color w:val="1A1A1A"/>
          <w:sz w:val="21"/>
          <w:szCs w:val="21"/>
        </w:rPr>
        <w:t xml:space="preserve">2. Wat vraagt een omgekeerde stresstest, en waarom is die vraag anders dan bij een normale stresstest?</w:t>
      </w:r>
    </w:p>
    <w:p>
      <w:pPr>
        <w:pStyle w:val="ListParagraph"/>
        <w:numPr>
          <w:ilvl w:val="0"/>
          <w:numId w:val="2"/>
        </w:numPr>
        <w:spacing w:after="100" w:line="280"/>
      </w:pPr>
      <w:r>
        <w:rPr>
          <w:rFonts w:ascii="Calibri" w:cs="Calibri" w:eastAsia="Calibri" w:hAnsi="Calibri"/>
          <w:color w:val="1A1A1A"/>
          <w:sz w:val="21"/>
          <w:szCs w:val="21"/>
        </w:rPr>
        <w:t xml:space="preserve">3. Welk scenario leverde de omgekeerde stresstest voor Meridiaan op, en waarom is dat scenario relevant voor de rest van dit niveau?</w:t>
      </w:r>
    </w:p>
    <w:p>
      <w:pPr>
        <w:pStyle w:val="ListParagraph"/>
        <w:numPr>
          <w:ilvl w:val="0"/>
          <w:numId w:val="2"/>
        </w:numPr>
        <w:spacing w:after="100" w:line="280"/>
      </w:pPr>
      <w:r>
        <w:rPr>
          <w:rFonts w:ascii="Calibri" w:cs="Calibri" w:eastAsia="Calibri" w:hAnsi="Calibri"/>
          <w:color w:val="1A1A1A"/>
          <w:sz w:val="21"/>
          <w:szCs w:val="21"/>
        </w:rPr>
        <w:t xml:space="preserve">4. Wat zijn ORSA en ERB, en wat is hun gedeelde principe met betrekking tot een belangrijke wijziging van het risicoprofiel?</w:t>
      </w:r>
    </w:p>
    <w:p>
      <w:pPr>
        <w:pStyle w:val="ListParagraph"/>
        <w:numPr>
          <w:ilvl w:val="0"/>
          <w:numId w:val="2"/>
        </w:numPr>
        <w:spacing w:after="100" w:line="280"/>
      </w:pPr>
      <w:r>
        <w:rPr>
          <w:rFonts w:ascii="Calibri" w:cs="Calibri" w:eastAsia="Calibri" w:hAnsi="Calibri"/>
          <w:color w:val="1A1A1A"/>
          <w:sz w:val="21"/>
          <w:szCs w:val="21"/>
        </w:rPr>
        <w:t xml:space="preserve">5. Wat is modelrisico, en wat is modelvalidatie?</w:t>
      </w:r>
    </w:p>
    <w:p>
      <w:pPr>
        <w:pStyle w:val="ListParagraph"/>
        <w:numPr>
          <w:ilvl w:val="0"/>
          <w:numId w:val="2"/>
        </w:numPr>
        <w:spacing w:after="100" w:line="280"/>
      </w:pPr>
      <w:r>
        <w:rPr>
          <w:rFonts w:ascii="Calibri" w:cs="Calibri" w:eastAsia="Calibri" w:hAnsi="Calibri"/>
          <w:color w:val="1A1A1A"/>
          <w:sz w:val="21"/>
          <w:szCs w:val="21"/>
        </w:rPr>
        <w:t xml:space="preserve">6. Wat is kernzin 20, en van welke eerdere kernzin is dit een echo?</w:t>
      </w:r>
    </w:p>
    <w:p>
      <w:pPr>
        <w:pStyle w:val="ListParagraph"/>
        <w:numPr>
          <w:ilvl w:val="0"/>
          <w:numId w:val="2"/>
        </w:numPr>
        <w:spacing w:after="100" w:line="280"/>
      </w:pPr>
      <w:r>
        <w:rPr>
          <w:rFonts w:ascii="Calibri" w:cs="Calibri" w:eastAsia="Calibri" w:hAnsi="Calibri"/>
          <w:color w:val="1A1A1A"/>
          <w:sz w:val="21"/>
          <w:szCs w:val="21"/>
        </w:rPr>
        <w:t xml:space="preserve">7. Wat concludeerde Sanne in haar ORSA-bijdrage, en op basis van welke twee eerdere bevindingen?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Scenario-analyse onderzoekt een samenhangend, plausibel toekomstbeeld met meerdere onderling consistente aannames; een stresstest isoleert doorgaans één of enkele variabelen en drijft die naar een extreme waarde.</w:t>
      </w:r>
    </w:p>
    <w:p>
      <w:pPr>
        <w:spacing w:after="180" w:line="300"/>
        <w:jc w:val="both"/>
      </w:pPr>
      <w:r>
        <w:rPr>
          <w:rFonts w:ascii="Calibri" w:cs="Calibri" w:eastAsia="Calibri" w:hAnsi="Calibri"/>
          <w:color w:val="1A1A1A"/>
          <w:sz w:val="21"/>
          <w:szCs w:val="21"/>
        </w:rPr>
        <w:t xml:space="preserve">2. Een omgekeerde stresstest vraagt niet ‘hoe erg kan het worden’ maar ‘welk scenario zou ons daadwerkelijk laten omvallen, en hoe waarschijnlijk is dat’ — de vraag begint bij het eindpunt (falen) in plaats van bij de schok.</w:t>
      </w:r>
    </w:p>
    <w:p>
      <w:pPr>
        <w:spacing w:after="180" w:line="300"/>
        <w:jc w:val="both"/>
      </w:pPr>
      <w:r>
        <w:rPr>
          <w:rFonts w:ascii="Calibri" w:cs="Calibri" w:eastAsia="Calibri" w:hAnsi="Calibri"/>
          <w:color w:val="1A1A1A"/>
          <w:sz w:val="21"/>
          <w:szCs w:val="21"/>
        </w:rPr>
        <w:t xml:space="preserve">3. Een langdurige uitval bij een kritieke externe partij, samenvallend met verhoogde druk op de transitietijdlijn — relevant omdat dit scenario in latere delen van dit niveau blijft terugkomen.</w:t>
      </w:r>
    </w:p>
    <w:p>
      <w:pPr>
        <w:spacing w:after="180" w:line="300"/>
        <w:jc w:val="both"/>
      </w:pPr>
      <w:r>
        <w:rPr>
          <w:rFonts w:ascii="Calibri" w:cs="Calibri" w:eastAsia="Calibri" w:hAnsi="Calibri"/>
          <w:color w:val="1A1A1A"/>
          <w:sz w:val="21"/>
          <w:szCs w:val="21"/>
        </w:rPr>
        <w:t xml:space="preserve">4. ORSA (Own Risk and Solvency Assessment, Solvency II, verzekeraars) en ERB (eigenrisicobeoordeling, art. 18b Besluit Ftk, pensioenfondsen, minimaal driejaarlijks) beoordelen beide het eigen risicoprofiel in relatie tot de eigen situatie; beide vereisen een aanvullende beoordeling bij een belangrijke wijziging van het risicoprofiel.</w:t>
      </w:r>
    </w:p>
    <w:p>
      <w:pPr>
        <w:spacing w:after="180" w:line="300"/>
        <w:jc w:val="both"/>
      </w:pPr>
      <w:r>
        <w:rPr>
          <w:rFonts w:ascii="Calibri" w:cs="Calibri" w:eastAsia="Calibri" w:hAnsi="Calibri"/>
          <w:color w:val="1A1A1A"/>
          <w:sz w:val="21"/>
          <w:szCs w:val="21"/>
        </w:rPr>
        <w:t xml:space="preserve">5. Modelrisico is het risico dat een model zelf systematisch verkeerde uitkomsten geeft, los van de kwaliteit van individuele aannames. Modelvalidatie is een onafhankelijke toetsing van het model als geheel, door iemand die het niet zelf heeft gebouwd.</w:t>
      </w:r>
    </w:p>
    <w:p>
      <w:pPr>
        <w:spacing w:after="180" w:line="300"/>
        <w:jc w:val="both"/>
      </w:pPr>
      <w:r>
        <w:rPr>
          <w:rFonts w:ascii="Calibri" w:cs="Calibri" w:eastAsia="Calibri" w:hAnsi="Calibri"/>
          <w:color w:val="1A1A1A"/>
          <w:sz w:val="21"/>
          <w:szCs w:val="21"/>
        </w:rPr>
        <w:t xml:space="preserve">6. Een model dat nooit door iemand anders dan de bouwer is getoetst, draagt hetzelfde risico als een ongeteste maatregel — het bestaat, maar niemand weet of het klopt. Een echo van Kernzin 10 (deel 16, niveau 2), nu toegepast op modellen.</w:t>
      </w:r>
    </w:p>
    <w:p>
      <w:pPr>
        <w:spacing w:after="180" w:line="300"/>
        <w:jc w:val="both"/>
      </w:pPr>
      <w:r>
        <w:rPr>
          <w:rFonts w:ascii="Calibri" w:cs="Calibri" w:eastAsia="Calibri" w:hAnsi="Calibri"/>
          <w:color w:val="1A1A1A"/>
          <w:sz w:val="21"/>
          <w:szCs w:val="21"/>
        </w:rPr>
        <w:t xml:space="preserve">7. Dat Meridiaans huidige voorbereiding nog niet voldoende is om het omgekeerde-stresstest-scenario te doorstaan, op basis van het omgekeerde-stresstest-scenario zelf (27.2) en het BCM-hiaat uit deel 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2026-08-17T07:01:55.347Z</dcterms:created>
  <dcterms:modified xsi:type="dcterms:W3CDTF">2026-08-17T07:01:55.349Z</dcterms:modified>
</cp:coreProperties>
</file>

<file path=docProps/custom.xml><?xml version="1.0" encoding="utf-8"?>
<Properties xmlns="http://schemas.openxmlformats.org/officeDocument/2006/custom-properties" xmlns:vt="http://schemas.openxmlformats.org/officeDocument/2006/docPropsVTypes"/>
</file>