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28 — Ethiek en de rol onder druk</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28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emotioneel het zwaarste deel van de hele cursus — het behandelt wat er gebeurt wanneer al het zorgvuldige werk uit de voorgaande 27 delen wordt genegeerd. Bewaak de toon: dit is geen deel over wantrouwen jegens besturen in het algemeen, maar over een professionele, stapsgewijze reactie op een reîel, herkenbaar scenario.</w:t>
      </w:r>
    </w:p>
    <w:p>
      <w:pPr>
        <w:spacing w:after="180" w:line="300"/>
        <w:jc w:val="both"/>
      </w:pPr>
      <w:r>
        <w:rPr>
          <w:rFonts w:ascii="Calibri" w:cs="Calibri" w:eastAsia="Calibri" w:hAnsi="Calibri"/>
          <w:color w:val="1A1A1A"/>
          <w:sz w:val="21"/>
          <w:szCs w:val="21"/>
        </w:rPr>
        <w:t xml:space="preserve">Dit deel lost ook een belofte in die al sinds deel 9 (niveau 1) openstond: ‘wat als je mandaat is uitgeput’. Maak dat expliciet aan het begin — het is bevredigend voor deelnemers die de hele cursus hebben gevolgd om te zien dat deze vraag nu eindelijk wordt beantwoord.</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het onderscheid tussen mandaat en invloed toepassen op een gegeven situatie</w:t>
      </w:r>
    </w:p>
    <w:p>
      <w:pPr>
        <w:pStyle w:val="ListParagraph"/>
        <w:numPr>
          <w:ilvl w:val="0"/>
          <w:numId w:val="2"/>
        </w:numPr>
        <w:spacing w:after="100" w:line="280"/>
      </w:pPr>
      <w:r>
        <w:rPr>
          <w:rFonts w:ascii="Calibri" w:cs="Calibri" w:eastAsia="Calibri" w:hAnsi="Calibri"/>
          <w:color w:val="1A1A1A"/>
          <w:sz w:val="21"/>
          <w:szCs w:val="21"/>
        </w:rPr>
        <w:t xml:space="preserve">Kernzin 21 toepassen en de drie stappen (overtuigen, escaleren, nooit zwijgen) in de juiste volgorde beschrijven</w:t>
      </w:r>
    </w:p>
    <w:p>
      <w:pPr>
        <w:pStyle w:val="ListParagraph"/>
        <w:numPr>
          <w:ilvl w:val="0"/>
          <w:numId w:val="2"/>
        </w:numPr>
        <w:spacing w:after="100" w:line="280"/>
      </w:pPr>
      <w:r>
        <w:rPr>
          <w:rFonts w:ascii="Calibri" w:cs="Calibri" w:eastAsia="Calibri" w:hAnsi="Calibri"/>
          <w:color w:val="1A1A1A"/>
          <w:sz w:val="21"/>
          <w:szCs w:val="21"/>
        </w:rPr>
        <w:t xml:space="preserve">het onderscheid tussen legitiem-optimistisch en misleidend beargumenteren aan de hand van transparantie over onzekerheid</w:t>
      </w:r>
    </w:p>
    <w:p>
      <w:pPr>
        <w:pStyle w:val="ListParagraph"/>
        <w:numPr>
          <w:ilvl w:val="0"/>
          <w:numId w:val="2"/>
        </w:numPr>
        <w:spacing w:after="100" w:line="280"/>
      </w:pPr>
      <w:r>
        <w:rPr>
          <w:rFonts w:ascii="Calibri" w:cs="Calibri" w:eastAsia="Calibri" w:hAnsi="Calibri"/>
          <w:color w:val="1A1A1A"/>
          <w:sz w:val="21"/>
          <w:szCs w:val="21"/>
        </w:rPr>
        <w:t xml:space="preserve">de DNB-toets toepassen op een gegeven situatie</w:t>
      </w:r>
    </w:p>
    <w:p>
      <w:pPr>
        <w:pStyle w:val="ListParagraph"/>
        <w:numPr>
          <w:ilvl w:val="0"/>
          <w:numId w:val="2"/>
        </w:numPr>
        <w:spacing w:after="100" w:line="280"/>
      </w:pPr>
      <w:r>
        <w:rPr>
          <w:rFonts w:ascii="Calibri" w:cs="Calibri" w:eastAsia="Calibri" w:hAnsi="Calibri"/>
          <w:color w:val="1A1A1A"/>
          <w:sz w:val="21"/>
          <w:szCs w:val="21"/>
        </w:rPr>
        <w:t xml:space="preserve">de drie voorwaarden voor escalatie naar de toezichthouder benoemen en toepassen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reactie die Sanne niet had verwacht</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0:20–0:50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Mandaat versus invloed, drie stappen</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6–10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0:50–1:10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28.1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1:10–1:25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1:25–1:50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Kernzin 21, opdracht 28.2</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11–12</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1:50–2:20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Legitiem-optimistisch versus misleidend</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13–16</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2:20–2:35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2:35–3:00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DNB-toets, opdracht 28.3</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17–18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3:00–3:25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Escaleren naar de toezichthouder: drie voorwaarden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19–21</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29</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22</w:t>
            </w:r>
          </w:p>
        </w:tc>
      </w:tr>
    </w:tbl>
    <w:p>
      <w:pPr>
        <w:spacing w:after="180" w:line="300"/>
        <w:jc w:val="both"/>
      </w:pPr>
      <w:r>
        <w:rPr>
          <w:rFonts w:ascii="Calibri" w:cs="Calibri" w:eastAsia="Calibri" w:hAnsi="Calibri"/>
          <w:color w:val="1A1A1A"/>
          <w:sz w:val="21"/>
          <w:szCs w:val="21"/>
        </w:rPr>
        <w:t xml:space="preserve">Huiswerk voor deel 29: geen nieuwe formele opdracht; vraag deelnemers alle materiaal uit niveau 3 tot nu toe (Verantis-dossier, ORSA-bijdrage, ethische kaders) paraat te hebben — de casuïstiek-marathon bouwt hierop voort.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drie stappen als mechanisch protocol presenteren. Het zijn geen checkbox-stappen die je in een vast tempo doorloopt — de tijd die tussen de stappen zit, en het oordeel over wanneer je van de ene naar de andere overgaat, is precies waar het vakmanschap zit. Benadruk dat.</w:t>
      </w:r>
    </w:p>
    <w:p>
      <w:pPr>
        <w:pStyle w:val="ListParagraph"/>
        <w:numPr>
          <w:ilvl w:val="0"/>
          <w:numId w:val="2"/>
        </w:numPr>
        <w:spacing w:after="100" w:line="280"/>
      </w:pPr>
      <w:r>
        <w:rPr>
          <w:rFonts w:ascii="Calibri" w:cs="Calibri" w:eastAsia="Calibri" w:hAnsi="Calibri"/>
          <w:color w:val="1A1A1A"/>
          <w:sz w:val="21"/>
          <w:szCs w:val="21"/>
        </w:rPr>
        <w:t xml:space="preserve">Escaleren naar de toezichthouder laten voelen als een gemakkelijke, dramatische climax. Het tegendeel is waar: het is een zwaar, ongemakkelijk middel dat zorgvuldig moet worden gedocumenteerd en verantwoord. Zorg dat de toon serieus en weloverwogen blijft, niet heroïsch.</w:t>
      </w:r>
    </w:p>
    <w:p>
      <w:pPr>
        <w:pStyle w:val="ListParagraph"/>
        <w:numPr>
          <w:ilvl w:val="0"/>
          <w:numId w:val="2"/>
        </w:numPr>
        <w:spacing w:after="100" w:line="280"/>
      </w:pPr>
      <w:r>
        <w:rPr>
          <w:rFonts w:ascii="Calibri" w:cs="Calibri" w:eastAsia="Calibri" w:hAnsi="Calibri"/>
          <w:color w:val="1A1A1A"/>
          <w:sz w:val="21"/>
          <w:szCs w:val="21"/>
        </w:rPr>
        <w:t xml:space="preserve">De DNB-toets reduceren tot ‘zou het mij in de problemen brengen’. Het gaat niet om zelfbescherming maar om de vraag of het handelen zelf, inhoudelijk, verantwoord is. Herformuleer zo nodig: niet ‘kan ik dit verdedigen als het uitkomt’, maar ‘is dit, op zichzelf beschouwd, verantwoord handelen’.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ervaring in een tweede- of derdelijnsrol herkennen de frustratie van mandaat-zonder-invloed vaak uit eigen ervaring. Geef hen ruimte om dit te delen, met respect voor de emotionele lading die dit soort ervaringen kan hebben.</w:t>
      </w:r>
    </w:p>
    <w:p>
      <w:pPr>
        <w:spacing w:after="180" w:line="300"/>
        <w:jc w:val="both"/>
      </w:pPr>
      <w:r>
        <w:rPr>
          <w:rFonts w:ascii="Calibri" w:cs="Calibri" w:eastAsia="Calibri" w:hAnsi="Calibri"/>
          <w:color w:val="1A1A1A"/>
          <w:sz w:val="21"/>
          <w:szCs w:val="21"/>
        </w:rPr>
        <w:t xml:space="preserve">Deelnemers met een bestuurlijke achtergrond kunnen een waardevol tegenperspectief bieden: waarom bestuurders soms adviezen ‘ter kennisgeving’ plaatsen zonder dat dit kwade opzet is (tijdsdruk, andere prioriteiten, onvoldoende begrip van de urgentie). Gebruik dit om het deel genuanceerd te houden — niet elk genegeerd advies is een teken van een falend bestuur.</w:t>
      </w:r>
    </w:p>
    <w:p>
      <w:pPr>
        <w:spacing w:after="180" w:line="300"/>
        <w:jc w:val="both"/>
      </w:pPr>
      <w:r>
        <w:rPr>
          <w:rFonts w:ascii="Calibri" w:cs="Calibri" w:eastAsia="Calibri" w:hAnsi="Calibri"/>
          <w:color w:val="1A1A1A"/>
          <w:sz w:val="21"/>
          <w:szCs w:val="21"/>
        </w:rPr>
        <w:t xml:space="preserve">Deelnemers die zich ongemakkelijk voelen bij het idee van escaleren naar een toezichthouder: dat ongemak is gezond en verdient erkenning — benadruk dat de drie voorwaarden er juist voor bestaan om dit middel voorbehouden te houden aan situaties die het ook echt rechtvaardigen.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Heb je zelf ooit een situatie meegemaakt waarin mandaat aanwezig was maar invloed ontbrak? Wat deed je toen?</w:t>
      </w:r>
    </w:p>
    <w:p>
      <w:pPr>
        <w:pStyle w:val="ListParagraph"/>
        <w:numPr>
          <w:ilvl w:val="0"/>
          <w:numId w:val="2"/>
        </w:numPr>
        <w:spacing w:after="100" w:line="280"/>
      </w:pPr>
      <w:r>
        <w:rPr>
          <w:rFonts w:ascii="Calibri" w:cs="Calibri" w:eastAsia="Calibri" w:hAnsi="Calibri"/>
          <w:color w:val="1A1A1A"/>
          <w:sz w:val="21"/>
          <w:szCs w:val="21"/>
        </w:rPr>
        <w:t xml:space="preserve">Waar ligt voor jou de grens tussen ‘het bestuur heeft nu even geen tijd’ en ‘het bestuur wuift dit structureel weg’?</w:t>
      </w:r>
    </w:p>
    <w:p>
      <w:pPr>
        <w:pStyle w:val="ListParagraph"/>
        <w:numPr>
          <w:ilvl w:val="0"/>
          <w:numId w:val="2"/>
        </w:numPr>
        <w:spacing w:after="100" w:line="280"/>
      </w:pPr>
      <w:r>
        <w:rPr>
          <w:rFonts w:ascii="Calibri" w:cs="Calibri" w:eastAsia="Calibri" w:hAnsi="Calibri"/>
          <w:color w:val="1A1A1A"/>
          <w:sz w:val="21"/>
          <w:szCs w:val="21"/>
        </w:rPr>
        <w:t xml:space="preserve">Zou jij, in Sanne's positie, comfortabel zijn met het inzetten van de derde stap (externe escalatie) als de eerste twee zijn uitgeput? Wat zou je tegenhouden, en is dat een goede of een slechte reden?</w:t>
      </w:r>
    </w:p>
    <w:p>
      <w:pPr>
        <w:pStyle w:val="Heading2"/>
        <w:spacing w:after="160" w:before="360"/>
      </w:pPr>
      <w:r>
        <w:rPr>
          <w:rFonts w:ascii="Calibri" w:cs="Calibri" w:eastAsia="Calibri" w:hAnsi="Calibri"/>
          <w:b/>
          <w:bCs/>
          <w:color w:val="2C5AA0"/>
          <w:sz w:val="26"/>
          <w:szCs w:val="26"/>
        </w:rPr>
        <w:t xml:space="preserve">Antwoordmodel voor de moeilijkste bespreking (de grens tussen stap 1 en stap 2)</w:t>
      </w:r>
    </w:p>
    <w:p>
      <w:pPr>
        <w:spacing w:after="180" w:line="300"/>
        <w:jc w:val="both"/>
      </w:pPr>
      <w:r>
        <w:rPr>
          <w:rFonts w:ascii="Calibri" w:cs="Calibri" w:eastAsia="Calibri" w:hAnsi="Calibri"/>
          <w:color w:val="1A1A1A"/>
          <w:sz w:val="21"/>
          <w:szCs w:val="21"/>
        </w:rPr>
        <w:t xml:space="preserve">Deelnemers vragen vaak: ‘hoe vaak moet je overtuigen proberen voordat je mag escaleren?’ Er is geen vast getal, en dat is met opzet. Leid de groep naar een beter criterium: niet het aantal pogingen, maar of de aard van de poging is veranderd. Hetzelfde advies drie keer herhalen is geen drie pogingen tot overtuigen — het is één poging, drie keer herhaald. Een echte volgende poging brengt een nieuw element: een andere onderbouwing, een ander moment, een andere boodschapper, of — zoals in opdracht 28.2 — een scherpere formulering via de DNB-toets. Zodra er geen nieuw element meer te bedenken is en de reactie nog steeds uitblijft, is overtuigen uitgeput, ongeacht het exacte aantal pogingen.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Een kort tijdlijnoverzicht van Sanne's mandaat-ontwikkeling door de hele cursus heen (organisatorisch mandaat niveau 1-2 → wettelijk mandaat niveau 3) als visuele samenvatting.</w:t>
      </w:r>
    </w:p>
    <w:p>
      <w:pPr>
        <w:pStyle w:val="ListParagraph"/>
        <w:numPr>
          <w:ilvl w:val="0"/>
          <w:numId w:val="2"/>
        </w:numPr>
        <w:spacing w:after="100" w:line="280"/>
      </w:pPr>
      <w:r>
        <w:rPr>
          <w:rFonts w:ascii="Calibri" w:cs="Calibri" w:eastAsia="Calibri" w:hAnsi="Calibri"/>
          <w:color w:val="1A1A1A"/>
          <w:sz w:val="21"/>
          <w:szCs w:val="21"/>
        </w:rPr>
        <w:t xml:space="preserve">De drie-voorwaarden-checklist (materialiteit/uitputting/documenteerbaarheid) als uitdeelblad.</w:t>
      </w:r>
    </w:p>
    <w:p>
      <w:pPr>
        <w:pStyle w:val="Heading2"/>
        <w:spacing w:after="160" w:before="360"/>
      </w:pPr>
      <w:r>
        <w:rPr>
          <w:rFonts w:ascii="Calibri" w:cs="Calibri" w:eastAsia="Calibri" w:hAnsi="Calibri"/>
          <w:b/>
          <w:bCs/>
          <w:color w:val="2C5AA0"/>
          <w:sz w:val="26"/>
          <w:szCs w:val="26"/>
        </w:rPr>
        <w:t xml:space="preserve">Aansluiting op deel 29</w:t>
      </w:r>
    </w:p>
    <w:p>
      <w:pPr>
        <w:spacing w:after="180" w:line="300"/>
        <w:jc w:val="both"/>
      </w:pPr>
      <w:r>
        <w:rPr>
          <w:rFonts w:ascii="Calibri" w:cs="Calibri" w:eastAsia="Calibri" w:hAnsi="Calibri"/>
          <w:color w:val="1A1A1A"/>
          <w:sz w:val="21"/>
          <w:szCs w:val="21"/>
        </w:rPr>
        <w:t xml:space="preserve">Sluit af met: alle instrumenten en alle ethische kaders van dit niveau liggen nu klaar. Deel 29 zet ze onder tijdsdruk in een casuïstiek-marathon — zes situaties, elk met een wisseling tussen het register van het bestuur en dat van de toezichthouder, als directe generale repetitie voor de masterproef.</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2026-08-17T07:05:18.883Z</dcterms:created>
  <dcterms:modified xsi:type="dcterms:W3CDTF">2026-08-17T07:05:18.884Z</dcterms:modified>
</cp:coreProperties>
</file>

<file path=docProps/custom.xml><?xml version="1.0" encoding="utf-8"?>
<Properties xmlns="http://schemas.openxmlformats.org/officeDocument/2006/custom-properties" xmlns:vt="http://schemas.openxmlformats.org/officeDocument/2006/docPropsVTypes"/>
</file>