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28 — Ethiek en de rol onder druk</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28 — Ethiek en de rol onder druk</w:t>
      </w:r>
    </w:p>
    <w:p>
      <w:pPr>
        <w:pStyle w:val="Heading2"/>
        <w:spacing w:after="160" w:before="360"/>
      </w:pPr>
      <w:r>
        <w:rPr>
          <w:rFonts w:ascii="Calibri" w:cs="Calibri" w:eastAsia="Calibri" w:hAnsi="Calibri"/>
          <w:b/>
          <w:bCs/>
          <w:color w:val="2C5AA0"/>
          <w:sz w:val="26"/>
          <w:szCs w:val="26"/>
        </w:rPr>
        <w:t xml:space="preserve">28.0 De reactie die Sanne niet had verwacht</w:t>
      </w:r>
    </w:p>
    <w:p>
      <w:pPr>
        <w:spacing w:after="180" w:line="300"/>
        <w:jc w:val="both"/>
      </w:pPr>
      <w:r>
        <w:rPr>
          <w:rFonts w:ascii="Calibri" w:cs="Calibri" w:eastAsia="Calibri" w:hAnsi="Calibri"/>
          <w:color w:val="1A1A1A"/>
          <w:sz w:val="21"/>
          <w:szCs w:val="21"/>
        </w:rPr>
        <w:t xml:space="preserve">Sanne's ORSA-bijdrage — de conclusie dat Meridiaan nog niet klaar is voor het scenario waarin een kritieke externe partij uitvalt tijdens verhoogde transitiedruk — bereikt het bestuur. De reactie is niet vijandig, maar ook niet wat ze had gehoopt: de voorzitter bedankt haar voor ‘een grondige analyse’, noemt het ‘iets om in het achterhoofd te houden’, en het bestuur gaat verder met de agenda. Geen gemotiveerde afwijking, geen concreet vervolg — precies het patroon dat Kernzin 17 (deel 24) als ‘decoratie’ bestempelde.</w:t>
      </w:r>
    </w:p>
    <w:p>
      <w:pPr>
        <w:spacing w:after="180" w:line="300"/>
        <w:jc w:val="both"/>
      </w:pPr>
      <w:r>
        <w:rPr>
          <w:rFonts w:ascii="Calibri" w:cs="Calibri" w:eastAsia="Calibri" w:hAnsi="Calibri"/>
          <w:color w:val="1A1A1A"/>
          <w:sz w:val="21"/>
          <w:szCs w:val="21"/>
        </w:rPr>
        <w:t xml:space="preserve">Dit deel gaat over wat een sleutelfunctiehouder dan doet.</w:t>
      </w:r>
    </w:p>
    <w:p>
      <w:pPr>
        <w:pStyle w:val="Heading2"/>
        <w:spacing w:after="160" w:before="360"/>
      </w:pPr>
      <w:r>
        <w:rPr>
          <w:rFonts w:ascii="Calibri" w:cs="Calibri" w:eastAsia="Calibri" w:hAnsi="Calibri"/>
          <w:b/>
          <w:bCs/>
          <w:color w:val="2C5AA0"/>
          <w:sz w:val="26"/>
          <w:szCs w:val="26"/>
        </w:rPr>
        <w:t xml:space="preserve">28.1 Mandaat versus invloed, volledig</w:t>
      </w:r>
    </w:p>
    <w:p>
      <w:pPr>
        <w:spacing w:after="180" w:line="300"/>
        <w:jc w:val="both"/>
      </w:pPr>
      <w:r>
        <w:rPr>
          <w:rFonts w:ascii="Calibri" w:cs="Calibri" w:eastAsia="Calibri" w:hAnsi="Calibri"/>
          <w:color w:val="1A1A1A"/>
          <w:sz w:val="21"/>
          <w:szCs w:val="21"/>
        </w:rPr>
        <w:t xml:space="preserve">In deel 9 (niveau 1) werd het onderscheid tussen mandaat (het recht om te agenderen, bevragen, escaleren) en beslissingsmacht (het recht om de uitkomst te bepalen) geïntroduceerd, met de belofte dat de vraag ‘wat als je mandaat is uitgeput’ hier zou terugkomen.</w:t>
      </w:r>
    </w:p>
    <w:p>
      <w:pPr>
        <w:spacing w:after="180" w:line="300"/>
        <w:jc w:val="both"/>
      </w:pPr>
      <w:r>
        <w:rPr>
          <w:rFonts w:ascii="Calibri" w:cs="Calibri" w:eastAsia="Calibri" w:hAnsi="Calibri"/>
          <w:color w:val="1A1A1A"/>
          <w:sz w:val="21"/>
          <w:szCs w:val="21"/>
        </w:rPr>
        <w:t xml:space="preserve">Tussen die twee zit een derde begrip dat nu expliciet wordt gemaakt: invloed. Mandaat is een formele bevoegdheid — het recht om gehoord te worden. Invloed is de mate waarin dat recht daadwerkelijk tot een andere uitkomst leidt. Sanne had, bij haar ORSA-bijdrage, volledig mandaat: ze mocht het advies geven, en dat is ook gebeurd. Wat ontbrak, was invloed: het advies veranderde niets.</w:t>
      </w:r>
    </w:p>
    <w:p>
      <w:pPr>
        <w:spacing w:after="180" w:line="300"/>
        <w:jc w:val="both"/>
      </w:pPr>
      <w:r>
        <w:rPr>
          <w:rFonts w:ascii="Calibri" w:cs="Calibri" w:eastAsia="Calibri" w:hAnsi="Calibri"/>
          <w:color w:val="1A1A1A"/>
          <w:sz w:val="21"/>
          <w:szCs w:val="21"/>
        </w:rPr>
        <w:t xml:space="preserve">Dit is geen falen van Sanne. Mandaat garandeert nooit invloed — dat zou, in feite, mandaat tot beslissingsmacht maken, wat precies is wat Kernzin 6 (deel 9, niveau 1) uitsluit. De vraag die overblijft is: wat doe je als je mandaat volledig is uitgeoefend, en de invloed uitblijft?</w:t>
      </w:r>
    </w:p>
    <w:p>
      <w:pPr>
        <w:spacing w:after="180" w:line="300"/>
        <w:jc w:val="both"/>
      </w:pPr>
      <w:r>
        <w:rPr>
          <w:rFonts w:ascii="Calibri" w:cs="Calibri" w:eastAsia="Calibri" w:hAnsi="Calibri"/>
          <w:color w:val="1A1A1A"/>
          <w:sz w:val="21"/>
          <w:szCs w:val="21"/>
        </w:rPr>
        <w:t xml:space="preserve">Drie opeenvolgende stappen, elk zwaarder dan de vorige:</w:t>
      </w:r>
    </w:p>
    <w:p>
      <w:pPr>
        <w:spacing w:after="180" w:line="300"/>
        <w:jc w:val="both"/>
      </w:pPr>
      <w:r>
        <w:rPr>
          <w:rFonts w:ascii="Calibri" w:cs="Calibri" w:eastAsia="Calibri" w:hAnsi="Calibri"/>
          <w:b/>
          <w:bCs/>
          <w:color w:val="1B2A4A"/>
          <w:sz w:val="21"/>
          <w:szCs w:val="21"/>
        </w:rPr>
        <w:t xml:space="preserve">Overtuigen.</w:t>
      </w:r>
      <w:r>
        <w:rPr>
          <w:rFonts w:ascii="Calibri" w:cs="Calibri" w:eastAsia="Calibri" w:hAnsi="Calibri"/>
          <w:color w:val="1A1A1A"/>
          <w:sz w:val="21"/>
          <w:szCs w:val="21"/>
        </w:rPr>
        <w:t xml:space="preserve"> Het advies opnieuw brengen, sterker onderbouwd, eventueel met een andere invalshoek — bijvoorbeeld niet alleen de inhoudelijke risico-analyse, maar ook de vraag wat een DNB-onderzoek zou vinden als het bestuur dit advies zonder motivering had genegeerd (zie 28.3).</w:t>
      </w:r>
    </w:p>
    <w:p>
      <w:pPr>
        <w:spacing w:after="180" w:line="300"/>
        <w:jc w:val="both"/>
      </w:pPr>
      <w:r>
        <w:rPr>
          <w:rFonts w:ascii="Calibri" w:cs="Calibri" w:eastAsia="Calibri" w:hAnsi="Calibri"/>
          <w:b/>
          <w:bCs/>
          <w:color w:val="1B2A4A"/>
          <w:sz w:val="21"/>
          <w:szCs w:val="21"/>
        </w:rPr>
        <w:t xml:space="preserve">Escaleren binnen de organisatie.</w:t>
      </w:r>
      <w:r>
        <w:rPr>
          <w:rFonts w:ascii="Calibri" w:cs="Calibri" w:eastAsia="Calibri" w:hAnsi="Calibri"/>
          <w:color w:val="1A1A1A"/>
          <w:sz w:val="21"/>
          <w:szCs w:val="21"/>
        </w:rPr>
        <w:t xml:space="preserve"> Een formeel verzoek om het punt opnieuw te agenderen met expliciete motiveringsplicht, eventueel met steun van de interne auditfunctie (deel 21, niveau 2) of de compliancefunctie — het inzetten van de bredere governance-structuur, niet alleen het eigen mandaat.</w:t>
      </w:r>
    </w:p>
    <w:p>
      <w:pPr>
        <w:spacing w:after="180" w:line="300"/>
        <w:jc w:val="both"/>
      </w:pPr>
      <w:r>
        <w:rPr>
          <w:rFonts w:ascii="Calibri" w:cs="Calibri" w:eastAsia="Calibri" w:hAnsi="Calibri"/>
          <w:b/>
          <w:bCs/>
          <w:color w:val="1B2A4A"/>
          <w:sz w:val="21"/>
          <w:szCs w:val="21"/>
        </w:rPr>
        <w:t xml:space="preserve">Escaleren naar de toezichthouder.</w:t>
      </w:r>
      <w:r>
        <w:rPr>
          <w:rFonts w:ascii="Calibri" w:cs="Calibri" w:eastAsia="Calibri" w:hAnsi="Calibri"/>
          <w:color w:val="1A1A1A"/>
          <w:sz w:val="21"/>
          <w:szCs w:val="21"/>
        </w:rPr>
        <w:t xml:space="preserve"> Het wettelijke middel uit deel 23 — de meldingsbevoegdheid aan DNB. Dit is, zoals daar al werd gezegd, geen dagelijks instrument, maar een laatste redmiddel voor precies dit soort situaties: wanneer overtuigen en interne escalatie zijn uitgeput, en het risico dermate materieel is dat zwijgen zelf een probleem wordt.</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21</w:t>
            </w:r>
          </w:p>
          <w:p>
            <w:r>
              <w:rPr>
                <w:rFonts w:ascii="Calibri" w:cs="Calibri" w:eastAsia="Calibri" w:hAnsi="Calibri"/>
                <w:b/>
                <w:bCs/>
                <w:i/>
                <w:iCs/>
                <w:color w:val="1B2A4A"/>
                <w:sz w:val="22"/>
                <w:szCs w:val="22"/>
              </w:rPr>
              <w:t xml:space="preserve">Overtuigen, escaleren, nooit zwijgen — in die volgorde, maar nooit stoppen bij de eerste stap alleen omdat hij het minst ongemakkelijk voelt.</w:t>
            </w:r>
          </w:p>
        </w:tc>
      </w:tr>
    </w:tbl>
    <w:p>
      <w:pPr>
        <w:pStyle w:val="Heading2"/>
        <w:spacing w:after="160" w:before="360"/>
      </w:pPr>
      <w:r>
        <w:rPr>
          <w:rFonts w:ascii="Calibri" w:cs="Calibri" w:eastAsia="Calibri" w:hAnsi="Calibri"/>
          <w:b/>
          <w:bCs/>
          <w:color w:val="2C5AA0"/>
          <w:sz w:val="26"/>
          <w:szCs w:val="26"/>
        </w:rPr>
        <w:t xml:space="preserve">28.2 De grens tussen legitiem-optimistisch en misleidend</w:t>
      </w:r>
    </w:p>
    <w:p>
      <w:pPr>
        <w:spacing w:after="180" w:line="300"/>
        <w:jc w:val="both"/>
      </w:pPr>
      <w:r>
        <w:rPr>
          <w:rFonts w:ascii="Calibri" w:cs="Calibri" w:eastAsia="Calibri" w:hAnsi="Calibri"/>
          <w:color w:val="1A1A1A"/>
          <w:sz w:val="21"/>
          <w:szCs w:val="21"/>
        </w:rPr>
        <w:t xml:space="preserve">Een aanverwant ethisch vraagstuk, dat niet Sanne zelf betreft maar waar zij wél toezicht op houdt: waar ligt de grens tussen een bestuur dat legitiem optimistisch is over de transitie, en een bestuur dat de risico's misleidend voorstelt — naar zichzelf, naar de toezichthouder, of naar de deelnemers?</w:t>
      </w:r>
    </w:p>
    <w:p>
      <w:pPr>
        <w:spacing w:after="180" w:line="300"/>
        <w:jc w:val="both"/>
      </w:pPr>
      <w:r>
        <w:rPr>
          <w:rFonts w:ascii="Calibri" w:cs="Calibri" w:eastAsia="Calibri" w:hAnsi="Calibri"/>
          <w:b/>
          <w:bCs/>
          <w:color w:val="1B2A4A"/>
          <w:sz w:val="21"/>
          <w:szCs w:val="21"/>
        </w:rPr>
        <w:t xml:space="preserve">Legitiem-optimistisch:</w:t>
      </w:r>
      <w:r>
        <w:rPr>
          <w:rFonts w:ascii="Calibri" w:cs="Calibri" w:eastAsia="Calibri" w:hAnsi="Calibri"/>
          <w:color w:val="1A1A1A"/>
          <w:sz w:val="21"/>
          <w:szCs w:val="21"/>
        </w:rPr>
        <w:t xml:space="preserve"> aannames zijn expliciet gemaakt, de onzekerheid is benoemd, en het optimisme is een bewuste, beargumenteerde keuze binnen een erkende bandbreedte — bijvoorbeeld het gekozen projectierendement uit deel 26, dat aan de bovenkant van de sectorbandbreedte ligt, maar wél binnen die bandbreedte en wél expliciet toegelicht.</w:t>
      </w:r>
    </w:p>
    <w:p>
      <w:pPr>
        <w:spacing w:after="180" w:line="300"/>
        <w:jc w:val="both"/>
      </w:pPr>
      <w:r>
        <w:rPr>
          <w:rFonts w:ascii="Calibri" w:cs="Calibri" w:eastAsia="Calibri" w:hAnsi="Calibri"/>
          <w:b/>
          <w:bCs/>
          <w:color w:val="1B2A4A"/>
          <w:sz w:val="21"/>
          <w:szCs w:val="21"/>
        </w:rPr>
        <w:t xml:space="preserve">Misleidend:</w:t>
      </w:r>
      <w:r>
        <w:rPr>
          <w:rFonts w:ascii="Calibri" w:cs="Calibri" w:eastAsia="Calibri" w:hAnsi="Calibri"/>
          <w:color w:val="1A1A1A"/>
          <w:sz w:val="21"/>
          <w:szCs w:val="21"/>
        </w:rPr>
        <w:t xml:space="preserve"> onzekerheid wordt verborgen, niet benoemd — bijvoorbeeld een rapportage die het projectierendement presenteert als vaststaand feit in plaats van als aanname, of die het omgekeerde-stresstest-scenario uit deel 27 eenvoudigweg niet vermeldt in de externe communicatie.</w:t>
      </w:r>
    </w:p>
    <w:p>
      <w:pPr>
        <w:spacing w:after="180" w:line="300"/>
        <w:jc w:val="both"/>
      </w:pPr>
      <w:r>
        <w:rPr>
          <w:rFonts w:ascii="Calibri" w:cs="Calibri" w:eastAsia="Calibri" w:hAnsi="Calibri"/>
          <w:color w:val="1A1A1A"/>
          <w:sz w:val="21"/>
          <w:szCs w:val="21"/>
        </w:rPr>
        <w:t xml:space="preserve">Het onderscheid is niet wat je gelooft, maar hoe transparant je bent over de onzekerheid die eronder zit. Dit is een directe toepassing van Kernzin 13 (deel 19, niveau 2, ‘het register bepaalt de nadruk, nooit de feiten’) op het niveau van bestuurlijke communicatie: nadruk verschuiven naar het gunstige scenario mag; het ongunstige scenario laten verdwijnen niet.</w:t>
      </w:r>
    </w:p>
    <w:p>
      <w:pPr>
        <w:pStyle w:val="Heading2"/>
        <w:spacing w:after="160" w:before="360"/>
      </w:pPr>
      <w:r>
        <w:rPr>
          <w:rFonts w:ascii="Calibri" w:cs="Calibri" w:eastAsia="Calibri" w:hAnsi="Calibri"/>
          <w:b/>
          <w:bCs/>
          <w:color w:val="2C5AA0"/>
          <w:sz w:val="26"/>
          <w:szCs w:val="26"/>
        </w:rPr>
        <w:t xml:space="preserve">28.3 De DNB-toets als snelle ethische controle</w:t>
      </w:r>
    </w:p>
    <w:p>
      <w:pPr>
        <w:spacing w:after="180" w:line="300"/>
        <w:jc w:val="both"/>
      </w:pPr>
      <w:r>
        <w:rPr>
          <w:rFonts w:ascii="Calibri" w:cs="Calibri" w:eastAsia="Calibri" w:hAnsi="Calibri"/>
          <w:color w:val="1A1A1A"/>
          <w:sz w:val="21"/>
          <w:szCs w:val="21"/>
        </w:rPr>
        <w:t xml:space="preserve">Voor situaties waarin het onderscheid uit 28.2 in de praktijk lastig te trekken is, hanteert deze cursus een eenvoudige, snelle vuistregel: de DNB-toets.</w:t>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
            <w:r>
              <w:rPr>
                <w:rFonts w:ascii="Calibri" w:cs="Calibri" w:eastAsia="Calibri" w:hAnsi="Calibri"/>
                <w:color w:val="1A1A1A"/>
                <w:sz w:val="20"/>
                <w:szCs w:val="20"/>
              </w:rPr>
              <w:t xml:space="preserve">Zou dit besluit, deze formulering, of dit stilzwijgen overeind blijven als DNB het morgen zou onderzoeken en alle onderliggende stukken zou opvragen?</w:t>
            </w:r>
          </w:p>
        </w:tc>
      </w:tr>
    </w:tbl>
    <w:p>
      <w:pPr>
        <w:spacing w:after="180" w:line="300"/>
        <w:jc w:val="both"/>
      </w:pPr>
      <w:r>
        <w:rPr>
          <w:rFonts w:ascii="Calibri" w:cs="Calibri" w:eastAsia="Calibri" w:hAnsi="Calibri"/>
          <w:color w:val="1A1A1A"/>
          <w:sz w:val="21"/>
          <w:szCs w:val="21"/>
        </w:rPr>
        <w:t xml:space="preserve">Dit is geen juridische toets — het is een praktische, intuïtieve sneltest die Sanne (en, breder, iedereen in een sleutelfunctierol) kan toepassen op een moment van twijfel, zonder eerst een juridisch advies te hoeven inwinnen. Toegepast op de reactie van het bestuur in 28.0: zou het overeind blijven als DNB zou vragen ‘waarom is dit advies niet gemotiveerd weerlegd, en wat is er sindsdien gedaan met het genoemde scenario’? Het antwoord, op dit moment, is nee — en dat antwoord is zelf de aanleiding voor Sanne om de volgende stap uit Kernzin 21 te zetten: opnieuw overtuigen, dit keer met een expliciete verwijzing naar wat een DNB-onderzoek zou vinden.</w:t>
      </w:r>
    </w:p>
    <w:p>
      <w:pPr>
        <w:pStyle w:val="Heading2"/>
        <w:spacing w:after="160" w:before="360"/>
      </w:pPr>
      <w:r>
        <w:rPr>
          <w:rFonts w:ascii="Calibri" w:cs="Calibri" w:eastAsia="Calibri" w:hAnsi="Calibri"/>
          <w:b/>
          <w:bCs/>
          <w:color w:val="2C5AA0"/>
          <w:sz w:val="26"/>
          <w:szCs w:val="26"/>
        </w:rPr>
        <w:t xml:space="preserve">28.4 Escaleren als laatste redmiddel: wanneer, en hoe</w:t>
      </w:r>
    </w:p>
    <w:p>
      <w:pPr>
        <w:spacing w:after="180" w:line="300"/>
        <w:jc w:val="both"/>
      </w:pPr>
      <w:r>
        <w:rPr>
          <w:rFonts w:ascii="Calibri" w:cs="Calibri" w:eastAsia="Calibri" w:hAnsi="Calibri"/>
          <w:color w:val="1A1A1A"/>
          <w:sz w:val="21"/>
          <w:szCs w:val="21"/>
        </w:rPr>
        <w:t xml:space="preserve">Terug naar de vraag die deel 23 openliet: wanneer zet je het wettelijke escalatiemiddel daadwerkelijk in? Drie voorwaarden, alle drie vereist:</w:t>
      </w:r>
    </w:p>
    <w:p>
      <w:pPr>
        <w:spacing w:after="180" w:line="300"/>
        <w:jc w:val="both"/>
      </w:pPr>
      <w:r>
        <w:rPr>
          <w:rFonts w:ascii="Calibri" w:cs="Calibri" w:eastAsia="Calibri" w:hAnsi="Calibri"/>
          <w:b/>
          <w:bCs/>
          <w:color w:val="1B2A4A"/>
          <w:sz w:val="21"/>
          <w:szCs w:val="21"/>
        </w:rPr>
        <w:t xml:space="preserve">Materialiteit.</w:t>
      </w:r>
      <w:r>
        <w:rPr>
          <w:rFonts w:ascii="Calibri" w:cs="Calibri" w:eastAsia="Calibri" w:hAnsi="Calibri"/>
          <w:color w:val="1A1A1A"/>
          <w:sz w:val="21"/>
          <w:szCs w:val="21"/>
        </w:rPr>
        <w:t xml:space="preserve"> Het risico moet, gemeten met de instrumenten uit dit hele niveau (risicokapitaal, VaR, scenario's), werkelijk substantieel zijn — niet elk genegeerd advies rechtvaardigt escalatie naar de toezichthouder.</w:t>
      </w:r>
    </w:p>
    <w:p>
      <w:pPr>
        <w:spacing w:after="180" w:line="300"/>
        <w:jc w:val="both"/>
      </w:pPr>
      <w:r>
        <w:rPr>
          <w:rFonts w:ascii="Calibri" w:cs="Calibri" w:eastAsia="Calibri" w:hAnsi="Calibri"/>
          <w:b/>
          <w:bCs/>
          <w:color w:val="1B2A4A"/>
          <w:sz w:val="21"/>
          <w:szCs w:val="21"/>
        </w:rPr>
        <w:t xml:space="preserve">Uitputting van interne stappen.</w:t>
      </w:r>
      <w:r>
        <w:rPr>
          <w:rFonts w:ascii="Calibri" w:cs="Calibri" w:eastAsia="Calibri" w:hAnsi="Calibri"/>
          <w:color w:val="1A1A1A"/>
          <w:sz w:val="21"/>
          <w:szCs w:val="21"/>
        </w:rPr>
        <w:t xml:space="preserve"> Overtuigen en interne escalatie (28.1) moeten daadwerkelijk zijn geprobeerd, niet overgeslagen omdat externe escalatie sneller voelt.</w:t>
      </w:r>
    </w:p>
    <w:p>
      <w:pPr>
        <w:spacing w:after="180" w:line="300"/>
        <w:jc w:val="both"/>
      </w:pPr>
      <w:r>
        <w:rPr>
          <w:rFonts w:ascii="Calibri" w:cs="Calibri" w:eastAsia="Calibri" w:hAnsi="Calibri"/>
          <w:b/>
          <w:bCs/>
          <w:color w:val="1B2A4A"/>
          <w:sz w:val="21"/>
          <w:szCs w:val="21"/>
        </w:rPr>
        <w:t xml:space="preserve">Documenteerbaarheid.</w:t>
      </w:r>
      <w:r>
        <w:rPr>
          <w:rFonts w:ascii="Calibri" w:cs="Calibri" w:eastAsia="Calibri" w:hAnsi="Calibri"/>
          <w:color w:val="1A1A1A"/>
          <w:sz w:val="21"/>
          <w:szCs w:val="21"/>
        </w:rPr>
        <w:t xml:space="preserve"> De sleutelfunctiehouder moet kunnen aantonen — met dezelfde discipline die deze hele cursus van deel 1 af heeft opgebouwd (risicozinnen, gedateerde besluiten, aantoonbare weging) — dat de eerdere stappen daadwerkelijk zijn gezet.</w:t>
      </w:r>
    </w:p>
    <w:p>
      <w:pPr>
        <w:spacing w:after="180" w:line="300"/>
        <w:jc w:val="both"/>
      </w:pPr>
      <w:r>
        <w:rPr>
          <w:rFonts w:ascii="Calibri" w:cs="Calibri" w:eastAsia="Calibri" w:hAnsi="Calibri"/>
          <w:color w:val="1A1A1A"/>
          <w:sz w:val="21"/>
          <w:szCs w:val="21"/>
        </w:rPr>
        <w:t xml:space="preserve">Wanneer aan alle drie is voldaan, is escaleren geen overtreding van loyaliteit aan de organisatie — het is precies waarvoor de wet de functie heeft gecreëerd. Dit is de volle betekenis van Kernzin 16 (deel 23): het mandaat is niet gegeven door de organisatie, en het inzetten ervan is geen verraad aan de organisatie, ook al voelt het op het moment zelf vaak wel zo.</w:t>
      </w:r>
    </w:p>
    <w:p>
      <w:pPr>
        <w:pStyle w:val="Heading2"/>
        <w:spacing w:after="160" w:before="360"/>
      </w:pPr>
      <w:r>
        <w:rPr>
          <w:rFonts w:ascii="Calibri" w:cs="Calibri" w:eastAsia="Calibri" w:hAnsi="Calibri"/>
          <w:b/>
          <w:bCs/>
          <w:color w:val="2C5AA0"/>
          <w:sz w:val="26"/>
          <w:szCs w:val="26"/>
        </w:rPr>
        <w:t xml:space="preserve">Samenvatting van deel 28</w:t>
      </w:r>
    </w:p>
    <w:p>
      <w:pPr>
        <w:pStyle w:val="ListParagraph"/>
        <w:numPr>
          <w:ilvl w:val="0"/>
          <w:numId w:val="2"/>
        </w:numPr>
        <w:spacing w:after="100" w:line="280"/>
      </w:pPr>
      <w:r>
        <w:rPr>
          <w:rFonts w:ascii="Calibri" w:cs="Calibri" w:eastAsia="Calibri" w:hAnsi="Calibri"/>
          <w:color w:val="1A1A1A"/>
          <w:sz w:val="21"/>
          <w:szCs w:val="21"/>
        </w:rPr>
        <w:t xml:space="preserve">Mandaat (het recht om gehoord te worden) garandeert geen invloed (of het advies daadwerkelijk iets verandert) — dat onderscheid is de kern van dit deel.</w:t>
      </w:r>
    </w:p>
    <w:p>
      <w:pPr>
        <w:pStyle w:val="ListParagraph"/>
        <w:numPr>
          <w:ilvl w:val="0"/>
          <w:numId w:val="2"/>
        </w:numPr>
        <w:spacing w:after="100" w:line="280"/>
      </w:pPr>
      <w:r>
        <w:rPr>
          <w:rFonts w:ascii="Calibri" w:cs="Calibri" w:eastAsia="Calibri" w:hAnsi="Calibri"/>
          <w:color w:val="1A1A1A"/>
          <w:sz w:val="21"/>
          <w:szCs w:val="21"/>
        </w:rPr>
        <w:t xml:space="preserve">Kernzin 21: overtuigen, escaleren, nooit zwijgen — in die volgorde, maar nooit stoppen bij de eerste stap alleen omdat hij het minst ongemakkelijk voelt.</w:t>
      </w:r>
    </w:p>
    <w:p>
      <w:pPr>
        <w:pStyle w:val="ListParagraph"/>
        <w:numPr>
          <w:ilvl w:val="0"/>
          <w:numId w:val="2"/>
        </w:numPr>
        <w:spacing w:after="100" w:line="280"/>
      </w:pPr>
      <w:r>
        <w:rPr>
          <w:rFonts w:ascii="Calibri" w:cs="Calibri" w:eastAsia="Calibri" w:hAnsi="Calibri"/>
          <w:color w:val="1A1A1A"/>
          <w:sz w:val="21"/>
          <w:szCs w:val="21"/>
        </w:rPr>
        <w:t xml:space="preserve">Legitiem-optimistisch versus misleidend: het onderscheid zit niet in wat je gelooft, maar in hoe transparant je bent over de onderliggende onzekerheid.</w:t>
      </w:r>
    </w:p>
    <w:p>
      <w:pPr>
        <w:pStyle w:val="ListParagraph"/>
        <w:numPr>
          <w:ilvl w:val="0"/>
          <w:numId w:val="2"/>
        </w:numPr>
        <w:spacing w:after="100" w:line="280"/>
      </w:pPr>
      <w:r>
        <w:rPr>
          <w:rFonts w:ascii="Calibri" w:cs="Calibri" w:eastAsia="Calibri" w:hAnsi="Calibri"/>
          <w:color w:val="1A1A1A"/>
          <w:sz w:val="21"/>
          <w:szCs w:val="21"/>
        </w:rPr>
        <w:t xml:space="preserve">De DNB-toets: zou dit besluit, deze formulering, of dit stilzwijgen overeind blijven bij een DNB-onderzoek met volledige inzage?</w:t>
      </w:r>
    </w:p>
    <w:p>
      <w:pPr>
        <w:pStyle w:val="ListParagraph"/>
        <w:numPr>
          <w:ilvl w:val="0"/>
          <w:numId w:val="2"/>
        </w:numPr>
        <w:spacing w:after="100" w:line="280"/>
      </w:pPr>
      <w:r>
        <w:rPr>
          <w:rFonts w:ascii="Calibri" w:cs="Calibri" w:eastAsia="Calibri" w:hAnsi="Calibri"/>
          <w:color w:val="1A1A1A"/>
          <w:sz w:val="21"/>
          <w:szCs w:val="21"/>
        </w:rPr>
        <w:t xml:space="preserve">Escaleren naar de toezichthouder vereist materialiteit, uitputting van interne stappen, en documenteerbaarheid — alle drie tegelijk.</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29 oefent dit alles onder tijdsdruk: een casuïstiek-marathon met zes situaties, elk met registerwisseling tussen bestuur en DNB — directe voorbereiding op de masterproef in deel 30.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2026-08-17T07:03:40.678Z</dcterms:created>
  <dcterms:modified xsi:type="dcterms:W3CDTF">2026-08-17T07:03:40.679Z</dcterms:modified>
</cp:coreProperties>
</file>

<file path=docProps/custom.xml><?xml version="1.0" encoding="utf-8"?>
<Properties xmlns="http://schemas.openxmlformats.org/officeDocument/2006/custom-properties" xmlns:vt="http://schemas.openxmlformats.org/officeDocument/2006/docPropsVTypes"/>
</file>