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28 — Ethiek en de rol onder druk</w:t>
      </w:r>
    </w:p>
    <w:p>
      <w:pPr>
        <w:spacing w:before="600"/>
        <w:jc w:val="center"/>
      </w:pPr>
      <w:r>
        <w:rPr>
          <w:rFonts w:ascii="Calibri" w:cs="Calibri" w:eastAsia="Calibri" w:hAnsi="Calibri"/>
          <w:b/>
          <w:bCs/>
          <w:color w:val="1B2A4A"/>
          <w:sz w:val="24"/>
          <w:szCs w:val="24"/>
        </w:rPr>
        <w:t xml:space="preserve">Niveau 3 — Expert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28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28.1 — Mandaat of invloed?</w:t>
      </w:r>
    </w:p>
    <w:p>
      <w:pPr>
        <w:spacing w:after="180" w:line="300"/>
        <w:jc w:val="both"/>
      </w:pPr>
      <w:r>
        <w:rPr>
          <w:rFonts w:ascii="Calibri" w:cs="Calibri" w:eastAsia="Calibri" w:hAnsi="Calibri"/>
          <w:color w:val="1A1A1A"/>
          <w:sz w:val="21"/>
          <w:szCs w:val="21"/>
        </w:rPr>
        <w:t xml:space="preserve">Voor elk van de volgende situaties: gaat het over mandaat, over invloed, of over beide?</w:t>
      </w:r>
    </w:p>
    <w:p>
      <w:pPr>
        <w:spacing w:after="180" w:line="300"/>
        <w:jc w:val="both"/>
      </w:pPr>
      <w:r>
        <w:rPr>
          <w:rFonts w:ascii="Calibri" w:cs="Calibri" w:eastAsia="Calibri" w:hAnsi="Calibri"/>
          <w:color w:val="1A1A1A"/>
          <w:sz w:val="21"/>
          <w:szCs w:val="21"/>
        </w:rPr>
        <w:t xml:space="preserve">a. Sanne mag een tweedelijnsopinie indienen; dat staat wettelijk vast.</w:t>
      </w:r>
    </w:p>
    <w:p>
      <w:pPr>
        <w:spacing w:after="180" w:line="300"/>
        <w:jc w:val="both"/>
      </w:pPr>
      <w:r>
        <w:rPr>
          <w:rFonts w:ascii="Calibri" w:cs="Calibri" w:eastAsia="Calibri" w:hAnsi="Calibri"/>
          <w:color w:val="1A1A1A"/>
          <w:sz w:val="21"/>
          <w:szCs w:val="21"/>
        </w:rPr>
        <w:t xml:space="preserve">b. Het bestuur bespreekt haar opinie uitgebreid en past het transitieplan op twee punten aan.</w:t>
      </w:r>
    </w:p>
    <w:p>
      <w:pPr>
        <w:spacing w:after="180" w:line="300"/>
        <w:jc w:val="both"/>
      </w:pPr>
      <w:r>
        <w:rPr>
          <w:rFonts w:ascii="Calibri" w:cs="Calibri" w:eastAsia="Calibri" w:hAnsi="Calibri"/>
          <w:color w:val="1A1A1A"/>
          <w:sz w:val="21"/>
          <w:szCs w:val="21"/>
        </w:rPr>
        <w:t xml:space="preserve">c. Het bestuur plaatst haar opinie ‘ter kennisgeving’ zonder verdere bespreking.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Mandaat — de formele bevoegdheid om het advies te geven.
b. Beide — mandaat werd uitgeoefend, én had invloed (het advies veranderde iets).
c. Mandaat zonder invloed — precies de situatie uit paragraaf 28.0.</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28.2 — Volg de drie stappen</w:t>
      </w:r>
    </w:p>
    <w:p>
      <w:pPr>
        <w:spacing w:after="180" w:line="300"/>
        <w:jc w:val="both"/>
      </w:pPr>
      <w:r>
        <w:rPr>
          <w:rFonts w:ascii="Calibri" w:cs="Calibri" w:eastAsia="Calibri" w:hAnsi="Calibri"/>
          <w:color w:val="1A1A1A"/>
          <w:sz w:val="21"/>
          <w:szCs w:val="21"/>
        </w:rPr>
        <w:t xml:space="preserve">Sanne's advies is genegeerd (zoals in 28.0). Beschrijf, in eigen woorden, wat de eerste stap (‘overtuigen’) er in dit specifieke geval concreet zou kunnen uitzien, vóórdat wordt overgegaan tot interne of externe escalatie.</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Een verdedigbare invulling: Sanne vraagt een kort, apart agendapunt aan bij de eerstvolgende bestuursvergadering, specifiek gewijd aan haar ORSA-bijdrage — niet als onderdeel van een bredere update, maar als zelfstandig punt dat om een expliciete reactie vraagt. Ze onderbouwt het opnieuw, dit keer met een concrete vraag: ‘wat zou u antwoorden als DNB morgen vraagt waarom dit scenario niet is geadresseerd?’ — de DNB-toets uit paragraaf 28.3, ingezet als overtuigingsmiddel.
Wat je hier moet meenemen: ‘overtuigen’ is niet hetzelfde als ‘hetzelfde nog een keer zeggen’ — het vraagt een andere aanpak, een ander moment, of een andere invalshoek dan de eerste keer.</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28.3 — Pas de DNB-toets toe</w:t>
      </w:r>
    </w:p>
    <w:p>
      <w:pPr>
        <w:spacing w:after="180" w:line="300"/>
        <w:jc w:val="both"/>
      </w:pPr>
      <w:r>
        <w:rPr>
          <w:rFonts w:ascii="Calibri" w:cs="Calibri" w:eastAsia="Calibri" w:hAnsi="Calibri"/>
          <w:color w:val="1A1A1A"/>
          <w:sz w:val="21"/>
          <w:szCs w:val="21"/>
        </w:rPr>
        <w:t xml:space="preserve">Voor elk van de volgende situaties: zou het overeind blijven bij een DNB-onderzoek met volledige inzage? Onderbouw kort.</w:t>
      </w:r>
    </w:p>
    <w:p>
      <w:pPr>
        <w:spacing w:after="180" w:line="300"/>
        <w:jc w:val="both"/>
      </w:pPr>
      <w:r>
        <w:rPr>
          <w:rFonts w:ascii="Calibri" w:cs="Calibri" w:eastAsia="Calibri" w:hAnsi="Calibri"/>
          <w:color w:val="1A1A1A"/>
          <w:sz w:val="21"/>
          <w:szCs w:val="21"/>
        </w:rPr>
        <w:t xml:space="preserve">a. Een projectierendement wordt intern besproken als aanname met een bandbreedte, en extern gecommuniceerd als ‘verwacht rendement’ zonder de bandbreedte te vermelden.</w:t>
      </w:r>
    </w:p>
    <w:p>
      <w:pPr>
        <w:spacing w:after="180" w:line="300"/>
        <w:jc w:val="both"/>
      </w:pPr>
      <w:r>
        <w:rPr>
          <w:rFonts w:ascii="Calibri" w:cs="Calibri" w:eastAsia="Calibri" w:hAnsi="Calibri"/>
          <w:color w:val="1A1A1A"/>
          <w:sz w:val="21"/>
          <w:szCs w:val="21"/>
        </w:rPr>
        <w:t xml:space="preserve">b. Een risico wordt in het interne register als ‘hoog’ gescoord en in de externe rapportage ook als zodanig benoemd, met toelichting.</w:t>
      </w:r>
    </w:p>
    <w:p>
      <w:pPr>
        <w:spacing w:after="180" w:line="300"/>
        <w:jc w:val="both"/>
      </w:pPr>
      <w:r>
        <w:rPr>
          <w:rFonts w:ascii="Calibri" w:cs="Calibri" w:eastAsia="Calibri" w:hAnsi="Calibri"/>
          <w:color w:val="1A1A1A"/>
          <w:sz w:val="21"/>
          <w:szCs w:val="21"/>
        </w:rPr>
        <w:t xml:space="preserve">c. Een advies wordt genegeerd zonder enige notulering van de reden.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Zou waarschijnlijk niet overeind blijven. De interne en externe voorstelling wijken wezenlijk van elkaar af — de onzekerheid is intern bekend maar extern verborgen, precies het ‘misleidend’-patroon uit paragraaf 28.2.
b. Zou overeind blijven. Consistente, transparante voorstelling — een voorbeeld van legitiem-optimistisch, of in ieder geval eerlijk, risicomanagement.
c. Zou waarschijnlijk niet overeind blijven. Geen documentatie van de motivering, in strijd met zowel Kernzin 17 (deel 24) als de adequaatheidseis (art. 46b Besluit uitvoering Pw, deel 24).
Wat je hier moet meenemen: de DNB-toets is geen vaag gevoel maar een concrete, toetsbare vraag — kun je de stukken laten zien die je handelen rechtvaardigen?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28</w:t>
      </w:r>
    </w:p>
    <w:p>
      <w:pPr>
        <w:pStyle w:val="ListParagraph"/>
        <w:numPr>
          <w:ilvl w:val="0"/>
          <w:numId w:val="2"/>
        </w:numPr>
        <w:spacing w:after="100" w:line="280"/>
      </w:pPr>
      <w:r>
        <w:rPr>
          <w:rFonts w:ascii="Calibri" w:cs="Calibri" w:eastAsia="Calibri" w:hAnsi="Calibri"/>
          <w:color w:val="1A1A1A"/>
          <w:sz w:val="21"/>
          <w:szCs w:val="21"/>
        </w:rPr>
        <w:t xml:space="preserve">1. Wat is het verschil tussen mandaat en invloed?</w:t>
      </w:r>
    </w:p>
    <w:p>
      <w:pPr>
        <w:pStyle w:val="ListParagraph"/>
        <w:numPr>
          <w:ilvl w:val="0"/>
          <w:numId w:val="2"/>
        </w:numPr>
        <w:spacing w:after="100" w:line="280"/>
      </w:pPr>
      <w:r>
        <w:rPr>
          <w:rFonts w:ascii="Calibri" w:cs="Calibri" w:eastAsia="Calibri" w:hAnsi="Calibri"/>
          <w:color w:val="1A1A1A"/>
          <w:sz w:val="21"/>
          <w:szCs w:val="21"/>
        </w:rPr>
        <w:t xml:space="preserve">2. Wat is kernzin 21?</w:t>
      </w:r>
    </w:p>
    <w:p>
      <w:pPr>
        <w:pStyle w:val="ListParagraph"/>
        <w:numPr>
          <w:ilvl w:val="0"/>
          <w:numId w:val="2"/>
        </w:numPr>
        <w:spacing w:after="100" w:line="280"/>
      </w:pPr>
      <w:r>
        <w:rPr>
          <w:rFonts w:ascii="Calibri" w:cs="Calibri" w:eastAsia="Calibri" w:hAnsi="Calibri"/>
          <w:color w:val="1A1A1A"/>
          <w:sz w:val="21"/>
          <w:szCs w:val="21"/>
        </w:rPr>
        <w:t xml:space="preserve">3. Wat is het onderscheid tussen legitiem-optimistisch en misleidend?</w:t>
      </w:r>
    </w:p>
    <w:p>
      <w:pPr>
        <w:pStyle w:val="ListParagraph"/>
        <w:numPr>
          <w:ilvl w:val="0"/>
          <w:numId w:val="2"/>
        </w:numPr>
        <w:spacing w:after="100" w:line="280"/>
      </w:pPr>
      <w:r>
        <w:rPr>
          <w:rFonts w:ascii="Calibri" w:cs="Calibri" w:eastAsia="Calibri" w:hAnsi="Calibri"/>
          <w:color w:val="1A1A1A"/>
          <w:sz w:val="21"/>
          <w:szCs w:val="21"/>
        </w:rPr>
        <w:t xml:space="preserve">4. Wat is de DNB-toets, en hoe wordt hij toegepast?</w:t>
      </w:r>
    </w:p>
    <w:p>
      <w:pPr>
        <w:pStyle w:val="ListParagraph"/>
        <w:numPr>
          <w:ilvl w:val="0"/>
          <w:numId w:val="2"/>
        </w:numPr>
        <w:spacing w:after="100" w:line="280"/>
      </w:pPr>
      <w:r>
        <w:rPr>
          <w:rFonts w:ascii="Calibri" w:cs="Calibri" w:eastAsia="Calibri" w:hAnsi="Calibri"/>
          <w:color w:val="1A1A1A"/>
          <w:sz w:val="21"/>
          <w:szCs w:val="21"/>
        </w:rPr>
        <w:t xml:space="preserve">5. Noem de drie voorwaarden die alle drie vervuld moeten zijn vóórdat escaleren naar de toezichthouder gerechtvaardigd is.</w:t>
      </w:r>
    </w:p>
    <w:p>
      <w:pPr>
        <w:pStyle w:val="ListParagraph"/>
        <w:numPr>
          <w:ilvl w:val="0"/>
          <w:numId w:val="2"/>
        </w:numPr>
        <w:spacing w:after="100" w:line="280"/>
      </w:pPr>
      <w:r>
        <w:rPr>
          <w:rFonts w:ascii="Calibri" w:cs="Calibri" w:eastAsia="Calibri" w:hAnsi="Calibri"/>
          <w:color w:val="1A1A1A"/>
          <w:sz w:val="21"/>
          <w:szCs w:val="21"/>
        </w:rPr>
        <w:t xml:space="preserve">6. Waarom is escaleren naar de toezichthouder geen ‘verraad’ aan de organisatie, gegeven wat deel 23 vaststelde?</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Mandaat is de formele bevoegdheid om gehoord te worden (agenderen, bevragen, escaleren); invloed is de mate waarin dat daadwerkelijk tot een andere uitkomst leidt. Mandaat garandeert geen invloed.</w:t>
      </w:r>
    </w:p>
    <w:p>
      <w:pPr>
        <w:spacing w:after="180" w:line="300"/>
        <w:jc w:val="both"/>
      </w:pPr>
      <w:r>
        <w:rPr>
          <w:rFonts w:ascii="Calibri" w:cs="Calibri" w:eastAsia="Calibri" w:hAnsi="Calibri"/>
          <w:color w:val="1A1A1A"/>
          <w:sz w:val="21"/>
          <w:szCs w:val="21"/>
        </w:rPr>
        <w:t xml:space="preserve">2. Overtuigen, escaleren, nooit zwijgen — in die volgorde, maar nooit stoppen bij de eerste stap alleen omdat hij het minst ongemakkelijk voelt.</w:t>
      </w:r>
    </w:p>
    <w:p>
      <w:pPr>
        <w:spacing w:after="180" w:line="300"/>
        <w:jc w:val="both"/>
      </w:pPr>
      <w:r>
        <w:rPr>
          <w:rFonts w:ascii="Calibri" w:cs="Calibri" w:eastAsia="Calibri" w:hAnsi="Calibri"/>
          <w:color w:val="1A1A1A"/>
          <w:sz w:val="21"/>
          <w:szCs w:val="21"/>
        </w:rPr>
        <w:t xml:space="preserve">3. Het onderscheid zit niet in wat je gelooft, maar in hoe transparant je bent over de onderliggende onzekerheid — legitiem-optimistisch benoemt de onzekerheid expliciet, misleidend verbergt haar.</w:t>
      </w:r>
    </w:p>
    <w:p>
      <w:pPr>
        <w:spacing w:after="180" w:line="300"/>
        <w:jc w:val="both"/>
      </w:pPr>
      <w:r>
        <w:rPr>
          <w:rFonts w:ascii="Calibri" w:cs="Calibri" w:eastAsia="Calibri" w:hAnsi="Calibri"/>
          <w:color w:val="1A1A1A"/>
          <w:sz w:val="21"/>
          <w:szCs w:val="21"/>
        </w:rPr>
        <w:t xml:space="preserve">4. De vraag of een besluit, formulering, of stilzwijgen overeind zou blijven bij een DNB-onderzoek met volledige inzage in de onderliggende stukken — een snelle, praktische ethische sneltest.</w:t>
      </w:r>
    </w:p>
    <w:p>
      <w:pPr>
        <w:spacing w:after="180" w:line="300"/>
        <w:jc w:val="both"/>
      </w:pPr>
      <w:r>
        <w:rPr>
          <w:rFonts w:ascii="Calibri" w:cs="Calibri" w:eastAsia="Calibri" w:hAnsi="Calibri"/>
          <w:color w:val="1A1A1A"/>
          <w:sz w:val="21"/>
          <w:szCs w:val="21"/>
        </w:rPr>
        <w:t xml:space="preserve">5. Materialiteit (het risico is werkelijk substantieel), uitputting van interne stappen (overtuigen en interne escalatie zijn daadwerkelijk geprobeerd), documenteerbaarheid (de eerdere stappen zijn aantoonbaar).</w:t>
      </w:r>
    </w:p>
    <w:p>
      <w:pPr>
        <w:spacing w:after="180" w:line="300"/>
        <w:jc w:val="both"/>
      </w:pPr>
      <w:r>
        <w:rPr>
          <w:rFonts w:ascii="Calibri" w:cs="Calibri" w:eastAsia="Calibri" w:hAnsi="Calibri"/>
          <w:color w:val="1A1A1A"/>
          <w:sz w:val="21"/>
          <w:szCs w:val="21"/>
        </w:rPr>
        <w:t xml:space="preserve">6. Omdat het mandaat, zoals Kernzin 16 vaststelt, niet door de organisatie is gegeven maar door de wet — het inzetten ervan is dus geen daad tegen de organisatie, maar de uitoefening van precies de functie waarvoor de wet de rol heeft gecreëerd.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2026-08-17T07:05:18.707Z</dcterms:created>
  <dcterms:modified xsi:type="dcterms:W3CDTF">2026-08-17T07:05:18.708Z</dcterms:modified>
</cp:coreProperties>
</file>

<file path=docProps/custom.xml><?xml version="1.0" encoding="utf-8"?>
<Properties xmlns="http://schemas.openxmlformats.org/officeDocument/2006/custom-properties" xmlns:vt="http://schemas.openxmlformats.org/officeDocument/2006/docPropsVTypes"/>
</file>