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2A4A"/>
          <w:sz w:val="44"/>
          <w:szCs w:val="44"/>
        </w:rPr>
        <w:t xml:space="preserve">RISICOMANAGEMENT</w:t>
      </w:r>
    </w:p>
    <w:p>
      <w:pPr>
        <w:spacing w:before="300"/>
        <w:jc w:val="center"/>
      </w:pPr>
      <w:r>
        <w:rPr>
          <w:rFonts w:ascii="Calibri" w:cs="Calibri" w:eastAsia="Calibri" w:hAnsi="Calibri"/>
          <w:color w:val="2C5AA0"/>
          <w:sz w:val="32"/>
          <w:szCs w:val="32"/>
        </w:rPr>
        <w:t xml:space="preserve">Deel 29 — Casuïstiek-marathon</w:t>
      </w:r>
    </w:p>
    <w:p>
      <w:pPr>
        <w:spacing w:before="600"/>
        <w:jc w:val="center"/>
      </w:pPr>
      <w:r>
        <w:rPr>
          <w:rFonts w:ascii="Calibri" w:cs="Calibri" w:eastAsia="Calibri" w:hAnsi="Calibri"/>
          <w:b/>
          <w:bCs/>
          <w:color w:val="1B2A4A"/>
          <w:sz w:val="24"/>
          <w:szCs w:val="24"/>
        </w:rPr>
        <w:t xml:space="preserve">Niveau 3 — Expert</w:t>
      </w:r>
    </w:p>
    <w:p>
      <w:pPr>
        <w:spacing w:before="200"/>
        <w:jc w:val="center"/>
      </w:pPr>
      <w:r>
        <w:rPr>
          <w:rFonts w:ascii="Calibri" w:cs="Calibri" w:eastAsia="Calibri" w:hAnsi="Calibri"/>
          <w:i/>
          <w:iCs/>
          <w:color w:val="D99A3D"/>
          <w:sz w:val="24"/>
          <w:szCs w:val="24"/>
        </w:rPr>
        <w:t xml:space="preserve">Reader</w:t>
      </w:r>
    </w:p>
    <w:p>
      <w:pPr>
        <w:spacing w:before="1200"/>
        <w:jc w:val="center"/>
      </w:pPr>
      <w:r>
        <w:rPr>
          <w:rFonts w:ascii="Calibri" w:cs="Calibri" w:eastAsia="Calibri" w:hAnsi="Calibri"/>
          <w:color w:val="8B93A5"/>
          <w:sz w:val="20"/>
          <w:szCs w:val="20"/>
        </w:rPr>
        <w:t xml:space="preserve">Ductus</w:t>
      </w:r>
    </w:p>
    <w:p>
      <w:r>
        <w:br w:type="page"/>
      </w:r>
    </w:p>
    <w:p>
      <w:pPr>
        <w:pStyle w:val="Heading1"/>
        <w:pBdr>
          <w:bottom w:val="single" w:color="1B2A4A" w:sz="6" w:space="4"/>
        </w:pBdr>
        <w:spacing w:after="240" w:before="480"/>
      </w:pPr>
      <w:r>
        <w:rPr>
          <w:rFonts w:ascii="Calibri" w:cs="Calibri" w:eastAsia="Calibri" w:hAnsi="Calibri"/>
          <w:b/>
          <w:bCs/>
          <w:color w:val="1B2A4A"/>
          <w:sz w:val="32"/>
          <w:szCs w:val="32"/>
        </w:rPr>
        <w:t xml:space="preserve">Deel 29 — Casuïstiek-marathon</w:t>
      </w:r>
    </w:p>
    <w:p>
      <w:pPr>
        <w:pStyle w:val="Heading2"/>
        <w:spacing w:after="160" w:before="360"/>
      </w:pPr>
      <w:r>
        <w:rPr>
          <w:rFonts w:ascii="Calibri" w:cs="Calibri" w:eastAsia="Calibri" w:hAnsi="Calibri"/>
          <w:b/>
          <w:bCs/>
          <w:color w:val="2C5AA0"/>
          <w:sz w:val="26"/>
          <w:szCs w:val="26"/>
        </w:rPr>
        <w:t xml:space="preserve">29.0 Geen nieuwe stof</w:t>
      </w:r>
    </w:p>
    <w:p>
      <w:pPr>
        <w:spacing w:after="180" w:line="300"/>
        <w:jc w:val="both"/>
      </w:pPr>
      <w:r>
        <w:rPr>
          <w:rFonts w:ascii="Calibri" w:cs="Calibri" w:eastAsia="Calibri" w:hAnsi="Calibri"/>
          <w:color w:val="1A1A1A"/>
          <w:sz w:val="21"/>
          <w:szCs w:val="21"/>
        </w:rPr>
        <w:t xml:space="preserve">Dit deel introduceert niets nieuws. Het test of alles wat niveau 1, 2 en 3 hebben opgebouwd — de risicozin, de kernzinnen, de wettelijke kaders, de ethische stappen — onder tijdsdruk bruikbaar is, niet alleen in een rustig geschreven reader.</w:t>
      </w:r>
    </w:p>
    <w:p>
      <w:pPr>
        <w:spacing w:after="180" w:line="300"/>
        <w:jc w:val="both"/>
      </w:pPr>
      <w:r>
        <w:rPr>
          <w:rFonts w:ascii="Calibri" w:cs="Calibri" w:eastAsia="Calibri" w:hAnsi="Calibri"/>
          <w:color w:val="1A1A1A"/>
          <w:sz w:val="21"/>
          <w:szCs w:val="21"/>
        </w:rPr>
        <w:t xml:space="preserve">Zes situaties, elk vereist twee consistente antwoorden: één gericht aan het bestuur van Meridiaan, één gericht aan DNB (bijvoorbeeld in het kader van een lopend toezichtcontact rond de transitie). Elk antwoord circa honderd woorden. De kernregel uit deel 19 (niveau 2) geldt onverkort: het register bepaalt de nadruk, nooit de feiten.</w:t>
      </w:r>
    </w:p>
    <w:p>
      <w:pPr>
        <w:pStyle w:val="Heading2"/>
        <w:spacing w:after="160" w:before="360"/>
      </w:pPr>
      <w:r>
        <w:rPr>
          <w:rFonts w:ascii="Calibri" w:cs="Calibri" w:eastAsia="Calibri" w:hAnsi="Calibri"/>
          <w:b/>
          <w:bCs/>
          <w:color w:val="2C5AA0"/>
          <w:sz w:val="26"/>
          <w:szCs w:val="26"/>
        </w:rPr>
        <w:t xml:space="preserve">29.1 De vijfstappenroutine</w:t>
      </w:r>
    </w:p>
    <w:p>
      <w:pPr>
        <w:spacing w:after="180" w:line="300"/>
        <w:jc w:val="both"/>
      </w:pPr>
      <w:r>
        <w:rPr>
          <w:rFonts w:ascii="Calibri" w:cs="Calibri" w:eastAsia="Calibri" w:hAnsi="Calibri"/>
          <w:color w:val="1A1A1A"/>
          <w:sz w:val="21"/>
          <w:szCs w:val="21"/>
        </w:rPr>
        <w:t xml:space="preserve">Voor elke situatie, binnen vijftien minuten:</w:t>
      </w:r>
    </w:p>
    <w:p>
      <w:pPr>
        <w:pStyle w:val="ListParagraph"/>
        <w:numPr>
          <w:ilvl w:val="0"/>
          <w:numId w:val="2"/>
        </w:numPr>
        <w:spacing w:after="100" w:line="280"/>
      </w:pPr>
      <w:r>
        <w:rPr>
          <w:rFonts w:ascii="Calibri" w:cs="Calibri" w:eastAsia="Calibri" w:hAnsi="Calibri"/>
          <w:color w:val="1A1A1A"/>
          <w:sz w:val="21"/>
          <w:szCs w:val="21"/>
        </w:rPr>
        <w:t xml:space="preserve">1. Kernprobleem in één zin — wat is hier het risico, geformuleerd als risicozin waar mogelijk?</w:t>
      </w:r>
    </w:p>
    <w:p>
      <w:pPr>
        <w:pStyle w:val="ListParagraph"/>
        <w:numPr>
          <w:ilvl w:val="0"/>
          <w:numId w:val="2"/>
        </w:numPr>
        <w:spacing w:after="100" w:line="280"/>
      </w:pPr>
      <w:r>
        <w:rPr>
          <w:rFonts w:ascii="Calibri" w:cs="Calibri" w:eastAsia="Calibri" w:hAnsi="Calibri"/>
          <w:color w:val="1A1A1A"/>
          <w:sz w:val="21"/>
          <w:szCs w:val="21"/>
        </w:rPr>
        <w:t xml:space="preserve">2. Instrument — welk instrument uit deze cursus is hier van toepassing (kernzin, wetsartikel, techniek)?</w:t>
      </w:r>
    </w:p>
    <w:p>
      <w:pPr>
        <w:pStyle w:val="ListParagraph"/>
        <w:numPr>
          <w:ilvl w:val="0"/>
          <w:numId w:val="2"/>
        </w:numPr>
        <w:spacing w:after="100" w:line="280"/>
      </w:pPr>
      <w:r>
        <w:rPr>
          <w:rFonts w:ascii="Calibri" w:cs="Calibri" w:eastAsia="Calibri" w:hAnsi="Calibri"/>
          <w:color w:val="1A1A1A"/>
          <w:sz w:val="21"/>
          <w:szCs w:val="21"/>
        </w:rPr>
        <w:t xml:space="preserve">3. Bestuursversie — circa honderd woorden, gericht op besluitvorming en actie.</w:t>
      </w:r>
    </w:p>
    <w:p>
      <w:pPr>
        <w:pStyle w:val="ListParagraph"/>
        <w:numPr>
          <w:ilvl w:val="0"/>
          <w:numId w:val="2"/>
        </w:numPr>
        <w:spacing w:after="100" w:line="280"/>
      </w:pPr>
      <w:r>
        <w:rPr>
          <w:rFonts w:ascii="Calibri" w:cs="Calibri" w:eastAsia="Calibri" w:hAnsi="Calibri"/>
          <w:color w:val="1A1A1A"/>
          <w:sz w:val="21"/>
          <w:szCs w:val="21"/>
        </w:rPr>
        <w:t xml:space="preserve">4. DNB-versie — circa honderd woorden, gericht op toezicht en verantwoording.</w:t>
      </w:r>
    </w:p>
    <w:p>
      <w:pPr>
        <w:pStyle w:val="ListParagraph"/>
        <w:numPr>
          <w:ilvl w:val="0"/>
          <w:numId w:val="2"/>
        </w:numPr>
        <w:spacing w:after="100" w:line="280"/>
      </w:pPr>
      <w:r>
        <w:rPr>
          <w:rFonts w:ascii="Calibri" w:cs="Calibri" w:eastAsia="Calibri" w:hAnsi="Calibri"/>
          <w:color w:val="1A1A1A"/>
          <w:sz w:val="21"/>
          <w:szCs w:val="21"/>
        </w:rPr>
        <w:t xml:space="preserve">5. Consistentietoets — leg beide versies naast elkaar: zijn de onderliggende feiten (scores, data, dates) identiek?</w:t>
      </w:r>
    </w:p>
    <w:p>
      <w:pPr>
        <w:pStyle w:val="Heading2"/>
        <w:spacing w:after="160" w:before="360"/>
      </w:pPr>
      <w:r>
        <w:rPr>
          <w:rFonts w:ascii="Calibri" w:cs="Calibri" w:eastAsia="Calibri" w:hAnsi="Calibri"/>
          <w:b/>
          <w:bCs/>
          <w:color w:val="2C5AA0"/>
          <w:sz w:val="26"/>
          <w:szCs w:val="26"/>
        </w:rPr>
        <w:t xml:space="preserve">29.2 Situatie 1 — Het genegeerde signaal</w:t>
      </w:r>
    </w:p>
    <w:p>
      <w:pPr>
        <w:spacing w:after="180" w:line="300"/>
        <w:jc w:val="both"/>
      </w:pPr>
      <w:r>
        <w:rPr>
          <w:rFonts w:ascii="Calibri" w:cs="Calibri" w:eastAsia="Calibri" w:hAnsi="Calibri"/>
          <w:color w:val="1A1A1A"/>
          <w:sz w:val="21"/>
          <w:szCs w:val="21"/>
        </w:rPr>
        <w:t xml:space="preserve">Een medewerker van Verantis meldt, informeel, aan een Meridiaan-contactpersoon dat de systemen van Verantis ‘de laatste tijd vaker haperen dan normaal’. Er is geen formele storing geweest. De contactpersoon noteert het niet.</w:t>
      </w:r>
    </w:p>
    <w:p>
      <w:pPr>
        <w:spacing w:after="180" w:line="300"/>
        <w:jc w:val="both"/>
      </w:pPr>
      <w:r>
        <w:rPr>
          <w:rFonts w:ascii="Calibri" w:cs="Calibri" w:eastAsia="Calibri" w:hAnsi="Calibri"/>
          <w:b/>
          <w:bCs/>
          <w:color w:val="1B2A4A"/>
          <w:sz w:val="21"/>
          <w:szCs w:val="21"/>
        </w:rPr>
        <w:t xml:space="preserve">Kernprobleem:</w:t>
      </w:r>
      <w:r>
        <w:rPr>
          <w:rFonts w:ascii="Calibri" w:cs="Calibri" w:eastAsia="Calibri" w:hAnsi="Calibri"/>
          <w:color w:val="1A1A1A"/>
          <w:sz w:val="21"/>
          <w:szCs w:val="21"/>
        </w:rPr>
        <w:t xml:space="preserve"> Doordat een informeel signaal over toenemende systeeminstabiliteit bij Verantis niet is vastgelegd, kan een vroeg-waarschuwingssignaal (KRI, deel 8 niveau 1) verloren gaan, waardoor een grotere storing later onvoorbereid toeslaat.</w:t>
      </w:r>
    </w:p>
    <w:p>
      <w:pPr>
        <w:spacing w:after="180" w:line="300"/>
        <w:jc w:val="both"/>
      </w:pPr>
      <w:r>
        <w:rPr>
          <w:rFonts w:ascii="Calibri" w:cs="Calibri" w:eastAsia="Calibri" w:hAnsi="Calibri"/>
          <w:b/>
          <w:bCs/>
          <w:color w:val="1B2A4A"/>
          <w:sz w:val="21"/>
          <w:szCs w:val="21"/>
        </w:rPr>
        <w:t xml:space="preserve">Instrument:</w:t>
      </w:r>
      <w:r>
        <w:rPr>
          <w:rFonts w:ascii="Calibri" w:cs="Calibri" w:eastAsia="Calibri" w:hAnsi="Calibri"/>
          <w:color w:val="1A1A1A"/>
          <w:sz w:val="21"/>
          <w:szCs w:val="21"/>
        </w:rPr>
        <w:t xml:space="preserve"> KRI-discipline (deel 8, niveau 1) en de BCM-hiaat-bevinding uit deel 25.</w:t>
      </w:r>
    </w:p>
    <w:tbl>
      <w:tblPr>
        <w:tblW w:type="pct" w:w="100%"/>
        <w:tblBorders>
          <w:top w:val="single" w:color="1B2A4A" w:sz="2"/>
          <w:left w:val="single" w:color="1B2A4A" w:sz="2"/>
          <w:bottom w:val="single" w:color="1B2A4A" w:sz="2"/>
          <w:right w:val="single" w:color="1B2A4A" w:sz="2"/>
          <w:insideH w:val="none" w:color="FFFFFF" w:sz="0"/>
          <w:insideV w:val="none" w:color="FFFFFF" w:sz="0"/>
        </w:tblBorders>
      </w:tblPr>
      <w:tblGrid>
        <w:gridCol w:w="100"/>
      </w:tblGrid>
      <w:tr>
        <w:tc>
          <w:tcPr>
            <w:shd w:fill="E8E9EC" w:color="auto" w:val="clear"/>
            <w:tcMar>
              <w:top w:type="dxa" w:w="180"/>
              <w:left w:type="dxa" w:w="240"/>
              <w:bottom w:type="dxa" w:w="180"/>
              <w:right w:type="dxa" w:w="240"/>
            </w:tcMar>
          </w:tcPr>
          <w:p>
            <w:pPr>
              <w:spacing w:after="80"/>
            </w:pPr>
            <w:r>
              <w:rPr>
                <w:rFonts w:ascii="Calibri" w:cs="Calibri" w:eastAsia="Calibri" w:hAnsi="Calibri"/>
                <w:b/>
                <w:bCs/>
                <w:color w:val="1B2A4A"/>
                <w:sz w:val="20"/>
                <w:szCs w:val="20"/>
              </w:rPr>
              <w:t xml:space="preserve">Bestuursversie</w:t>
            </w:r>
          </w:p>
          <w:p>
            <w:r>
              <w:rPr>
                <w:rFonts w:ascii="Calibri" w:cs="Calibri" w:eastAsia="Calibri" w:hAnsi="Calibri"/>
                <w:color w:val="1A1A1A"/>
                <w:sz w:val="20"/>
                <w:szCs w:val="20"/>
              </w:rPr>
              <w:t xml:space="preserve">‘Een medewerker van Verantis meldde informeel toenemende systeeminstabiliteit; dit signaal is niet vastgelegd. Ik stel voor een vast meldpunt in te richten voor dit soort informele signalen vanuit onze uitbestedingsrelaties, gekoppeld aan het BCM-hiaat dat ik eerder signaleerde. Ik vraag akkoord om dit binnen twee weken in te richten.’</w:t>
            </w:r>
          </w:p>
        </w:tc>
      </w:tr>
    </w:tbl>
    <w:p>
      <w:pPr>
        <w:spacing w:after="180" w:line="300"/>
        <w:jc w:val="both"/>
      </w:pPr>
      <w:r>
        <w:rPr>
          <w:rFonts w:ascii="Calibri" w:cs="Calibri" w:eastAsia="Calibri" w:hAnsi="Calibri"/>
          <w:color w:val="1A1A1A"/>
          <w:sz w:val="21"/>
          <w:szCs w:val="21"/>
        </w:rPr>
        <w:t xml:space="preserve"/>
      </w:r>
    </w:p>
    <w:tbl>
      <w:tblPr>
        <w:tblW w:type="pct" w:w="100%"/>
        <w:tblBorders>
          <w:top w:val="single" w:color="2C5AA0" w:sz="2"/>
          <w:left w:val="single" w:color="2C5AA0" w:sz="2"/>
          <w:bottom w:val="single" w:color="2C5AA0" w:sz="2"/>
          <w:right w:val="single" w:color="2C5AA0" w:sz="2"/>
          <w:insideH w:val="none" w:color="FFFFFF" w:sz="0"/>
          <w:insideV w:val="none" w:color="FFFFFF" w:sz="0"/>
        </w:tblBorders>
      </w:tblPr>
      <w:tblGrid>
        <w:gridCol w:w="100"/>
      </w:tblGrid>
      <w:tr>
        <w:tc>
          <w:tcPr>
            <w:shd w:fill="DCE6F2" w:color="auto" w:val="clear"/>
            <w:tcMar>
              <w:top w:type="dxa" w:w="180"/>
              <w:left w:type="dxa" w:w="240"/>
              <w:bottom w:type="dxa" w:w="180"/>
              <w:right w:type="dxa" w:w="240"/>
            </w:tcMar>
          </w:tcPr>
          <w:p>
            <w:pPr>
              <w:spacing w:after="80"/>
            </w:pPr>
            <w:r>
              <w:rPr>
                <w:rFonts w:ascii="Calibri" w:cs="Calibri" w:eastAsia="Calibri" w:hAnsi="Calibri"/>
                <w:b/>
                <w:bCs/>
                <w:color w:val="1B2A4A"/>
                <w:sz w:val="20"/>
                <w:szCs w:val="20"/>
              </w:rPr>
              <w:t xml:space="preserve">DNB-versie</w:t>
            </w:r>
          </w:p>
          <w:p>
            <w:r>
              <w:rPr>
                <w:rFonts w:ascii="Calibri" w:cs="Calibri" w:eastAsia="Calibri" w:hAnsi="Calibri"/>
                <w:color w:val="1A1A1A"/>
                <w:sz w:val="20"/>
                <w:szCs w:val="20"/>
              </w:rPr>
              <w:t xml:space="preserve">‘Naar aanleiding van een informeel signaal over de stabiliteit van een kritieke uitbestedingspartner hebben wij een structurele lacune geconstateerd in onze signaleringsketen voor dit type informatie. Wij hebben maatregelen in gang gezet om dit te verhelpen, aansluitend op het reeds eerder geconstateerde BCM-hiaat rond deze partij.’</w:t>
            </w:r>
          </w:p>
        </w:tc>
      </w:tr>
    </w:tbl>
    <w:p>
      <w:pPr>
        <w:spacing w:after="180" w:line="300"/>
        <w:jc w:val="both"/>
      </w:pPr>
      <w:r>
        <w:rPr>
          <w:rFonts w:ascii="Calibri" w:cs="Calibri" w:eastAsia="Calibri" w:hAnsi="Calibri"/>
          <w:color w:val="1A1A1A"/>
          <w:sz w:val="21"/>
          <w:szCs w:val="21"/>
        </w:rPr>
        <w:t xml:space="preserve"/>
      </w:r>
    </w:p>
    <w:p>
      <w:pPr>
        <w:spacing w:after="180" w:line="300"/>
        <w:jc w:val="both"/>
      </w:pPr>
      <w:r>
        <w:rPr>
          <w:rFonts w:ascii="Calibri" w:cs="Calibri" w:eastAsia="Calibri" w:hAnsi="Calibri"/>
          <w:b/>
          <w:bCs/>
          <w:color w:val="1B2A4A"/>
          <w:sz w:val="21"/>
          <w:szCs w:val="21"/>
        </w:rPr>
        <w:t xml:space="preserve">Consistentietoets:</w:t>
      </w:r>
      <w:r>
        <w:rPr>
          <w:rFonts w:ascii="Calibri" w:cs="Calibri" w:eastAsia="Calibri" w:hAnsi="Calibri"/>
          <w:color w:val="1A1A1A"/>
          <w:sz w:val="21"/>
          <w:szCs w:val="21"/>
        </w:rPr>
        <w:t xml:space="preserve"> beide versies noemen hetzelfde feit (informeel signaal, niet vastgelegd) en dezelfde onderliggende oorzaak (BCM-hiaat); de bestuursversie is actiegericht, de DNB-versie is verantwoordend — geen tegenstrijdigheid.</w:t>
      </w:r>
    </w:p>
    <w:p>
      <w:pPr>
        <w:pStyle w:val="Heading2"/>
        <w:spacing w:after="160" w:before="360"/>
      </w:pPr>
      <w:r>
        <w:rPr>
          <w:rFonts w:ascii="Calibri" w:cs="Calibri" w:eastAsia="Calibri" w:hAnsi="Calibri"/>
          <w:b/>
          <w:bCs/>
          <w:color w:val="2C5AA0"/>
          <w:sz w:val="26"/>
          <w:szCs w:val="26"/>
        </w:rPr>
        <w:t xml:space="preserve">29.3 Situatie 2 — De optimistische aanname</w:t>
      </w:r>
    </w:p>
    <w:p>
      <w:pPr>
        <w:spacing w:after="180" w:line="300"/>
        <w:jc w:val="both"/>
      </w:pPr>
      <w:r>
        <w:rPr>
          <w:rFonts w:ascii="Calibri" w:cs="Calibri" w:eastAsia="Calibri" w:hAnsi="Calibri"/>
          <w:color w:val="1A1A1A"/>
          <w:sz w:val="21"/>
          <w:szCs w:val="21"/>
        </w:rPr>
        <w:t xml:space="preserve">Bij de jaarlijkse herijking blijkt dat de actuariële functie het projectierendement wederom aan de bovenkant van de sectorbandbreedte heeft vastgesteld — nu voor het derde jaar op rij.</w:t>
      </w:r>
    </w:p>
    <w:p>
      <w:pPr>
        <w:spacing w:after="180" w:line="300"/>
        <w:jc w:val="both"/>
      </w:pPr>
      <w:r>
        <w:rPr>
          <w:rFonts w:ascii="Calibri" w:cs="Calibri" w:eastAsia="Calibri" w:hAnsi="Calibri"/>
          <w:b/>
          <w:bCs/>
          <w:color w:val="1B2A4A"/>
          <w:sz w:val="21"/>
          <w:szCs w:val="21"/>
        </w:rPr>
        <w:t xml:space="preserve">Kernprobleem:</w:t>
      </w:r>
      <w:r>
        <w:rPr>
          <w:rFonts w:ascii="Calibri" w:cs="Calibri" w:eastAsia="Calibri" w:hAnsi="Calibri"/>
          <w:color w:val="1A1A1A"/>
          <w:sz w:val="21"/>
          <w:szCs w:val="21"/>
        </w:rPr>
        <w:t xml:space="preserve"> Doordat het projectierendement drie jaar op rij aan de bovenkant van de bandbreedte wordt vastgesteld, zonder dat dit patroon expliciet is beargumenteerd, kan structurele optimism bias (deel 20, niveau 2) een rol spelen, waardoor het risico op een te positief voorgesteld beeld toeneemt.</w:t>
      </w:r>
    </w:p>
    <w:p>
      <w:pPr>
        <w:spacing w:after="180" w:line="300"/>
        <w:jc w:val="both"/>
      </w:pPr>
      <w:r>
        <w:rPr>
          <w:rFonts w:ascii="Calibri" w:cs="Calibri" w:eastAsia="Calibri" w:hAnsi="Calibri"/>
          <w:b/>
          <w:bCs/>
          <w:color w:val="1B2A4A"/>
          <w:sz w:val="21"/>
          <w:szCs w:val="21"/>
        </w:rPr>
        <w:t xml:space="preserve">Instrument:</w:t>
      </w:r>
      <w:r>
        <w:rPr>
          <w:rFonts w:ascii="Calibri" w:cs="Calibri" w:eastAsia="Calibri" w:hAnsi="Calibri"/>
          <w:color w:val="1A1A1A"/>
          <w:sz w:val="21"/>
          <w:szCs w:val="21"/>
        </w:rPr>
        <w:t xml:space="preserve"> Vijf-vragen-set (deel 26) en optimism bias (deel 20, niveau 2).</w:t>
      </w:r>
    </w:p>
    <w:tbl>
      <w:tblPr>
        <w:tblW w:type="pct" w:w="100%"/>
        <w:tblBorders>
          <w:top w:val="single" w:color="1B2A4A" w:sz="2"/>
          <w:left w:val="single" w:color="1B2A4A" w:sz="2"/>
          <w:bottom w:val="single" w:color="1B2A4A" w:sz="2"/>
          <w:right w:val="single" w:color="1B2A4A" w:sz="2"/>
          <w:insideH w:val="none" w:color="FFFFFF" w:sz="0"/>
          <w:insideV w:val="none" w:color="FFFFFF" w:sz="0"/>
        </w:tblBorders>
      </w:tblPr>
      <w:tblGrid>
        <w:gridCol w:w="100"/>
      </w:tblGrid>
      <w:tr>
        <w:tc>
          <w:tcPr>
            <w:shd w:fill="E8E9EC" w:color="auto" w:val="clear"/>
            <w:tcMar>
              <w:top w:type="dxa" w:w="180"/>
              <w:left w:type="dxa" w:w="240"/>
              <w:bottom w:type="dxa" w:w="180"/>
              <w:right w:type="dxa" w:w="240"/>
            </w:tcMar>
          </w:tcPr>
          <w:p>
            <w:pPr>
              <w:spacing w:after="80"/>
            </w:pPr>
            <w:r>
              <w:rPr>
                <w:rFonts w:ascii="Calibri" w:cs="Calibri" w:eastAsia="Calibri" w:hAnsi="Calibri"/>
                <w:b/>
                <w:bCs/>
                <w:color w:val="1B2A4A"/>
                <w:sz w:val="20"/>
                <w:szCs w:val="20"/>
              </w:rPr>
              <w:t xml:space="preserve">Bestuursversie</w:t>
            </w:r>
          </w:p>
          <w:p>
            <w:r>
              <w:rPr>
                <w:rFonts w:ascii="Calibri" w:cs="Calibri" w:eastAsia="Calibri" w:hAnsi="Calibri"/>
                <w:color w:val="1A1A1A"/>
                <w:sz w:val="20"/>
                <w:szCs w:val="20"/>
              </w:rPr>
              <w:t xml:space="preserve">‘Voor het derde jaar op rij ligt ons projectierendement aan de bovenkant van de sectorbandbreedte. Op zichzelf niet ongeldig, maar een patroon dat om een expliciete verklaring vraagt. Ik verzoek de actuariële functie een onderbouwing te geven waarom dit steeds aan de bovenkant uitkomt, en wil dat het bestuur deze onderbouwing beoordeelt vóór vaststelling.’</w:t>
            </w:r>
          </w:p>
        </w:tc>
      </w:tr>
    </w:tbl>
    <w:p>
      <w:pPr>
        <w:spacing w:after="180" w:line="300"/>
        <w:jc w:val="both"/>
      </w:pPr>
      <w:r>
        <w:rPr>
          <w:rFonts w:ascii="Calibri" w:cs="Calibri" w:eastAsia="Calibri" w:hAnsi="Calibri"/>
          <w:color w:val="1A1A1A"/>
          <w:sz w:val="21"/>
          <w:szCs w:val="21"/>
        </w:rPr>
        <w:t xml:space="preserve"/>
      </w:r>
    </w:p>
    <w:tbl>
      <w:tblPr>
        <w:tblW w:type="pct" w:w="100%"/>
        <w:tblBorders>
          <w:top w:val="single" w:color="2C5AA0" w:sz="2"/>
          <w:left w:val="single" w:color="2C5AA0" w:sz="2"/>
          <w:bottom w:val="single" w:color="2C5AA0" w:sz="2"/>
          <w:right w:val="single" w:color="2C5AA0" w:sz="2"/>
          <w:insideH w:val="none" w:color="FFFFFF" w:sz="0"/>
          <w:insideV w:val="none" w:color="FFFFFF" w:sz="0"/>
        </w:tblBorders>
      </w:tblPr>
      <w:tblGrid>
        <w:gridCol w:w="100"/>
      </w:tblGrid>
      <w:tr>
        <w:tc>
          <w:tcPr>
            <w:shd w:fill="DCE6F2" w:color="auto" w:val="clear"/>
            <w:tcMar>
              <w:top w:type="dxa" w:w="180"/>
              <w:left w:type="dxa" w:w="240"/>
              <w:bottom w:type="dxa" w:w="180"/>
              <w:right w:type="dxa" w:w="240"/>
            </w:tcMar>
          </w:tcPr>
          <w:p>
            <w:pPr>
              <w:spacing w:after="80"/>
            </w:pPr>
            <w:r>
              <w:rPr>
                <w:rFonts w:ascii="Calibri" w:cs="Calibri" w:eastAsia="Calibri" w:hAnsi="Calibri"/>
                <w:b/>
                <w:bCs/>
                <w:color w:val="1B2A4A"/>
                <w:sz w:val="20"/>
                <w:szCs w:val="20"/>
              </w:rPr>
              <w:t xml:space="preserve">DNB-versie</w:t>
            </w:r>
          </w:p>
          <w:p>
            <w:r>
              <w:rPr>
                <w:rFonts w:ascii="Calibri" w:cs="Calibri" w:eastAsia="Calibri" w:hAnsi="Calibri"/>
                <w:color w:val="1A1A1A"/>
                <w:sz w:val="20"/>
                <w:szCs w:val="20"/>
              </w:rPr>
              <w:t xml:space="preserve">‘Wij hebben geconstateerd dat ons projectierendement herhaaldelijk aan de bovenkant van de gangbare bandbreedte ligt. Dit patroon is door de risicobeheerfunctie geagendeerd voor nadere onderbouwing door de actuariële functie, ter beoordeling door het bestuur, conform onze reguliere plausibiliteitscontrole.’</w:t>
            </w:r>
          </w:p>
        </w:tc>
      </w:tr>
    </w:tbl>
    <w:p>
      <w:pPr>
        <w:spacing w:after="180" w:line="300"/>
        <w:jc w:val="both"/>
      </w:pPr>
      <w:r>
        <w:rPr>
          <w:rFonts w:ascii="Calibri" w:cs="Calibri" w:eastAsia="Calibri" w:hAnsi="Calibri"/>
          <w:color w:val="1A1A1A"/>
          <w:sz w:val="21"/>
          <w:szCs w:val="21"/>
        </w:rPr>
        <w:t xml:space="preserve"/>
      </w:r>
    </w:p>
    <w:p>
      <w:pPr>
        <w:spacing w:after="180" w:line="300"/>
        <w:jc w:val="both"/>
      </w:pPr>
      <w:r>
        <w:rPr>
          <w:rFonts w:ascii="Calibri" w:cs="Calibri" w:eastAsia="Calibri" w:hAnsi="Calibri"/>
          <w:b/>
          <w:bCs/>
          <w:color w:val="1B2A4A"/>
          <w:sz w:val="21"/>
          <w:szCs w:val="21"/>
        </w:rPr>
        <w:t xml:space="preserve">Consistentietoets:</w:t>
      </w:r>
      <w:r>
        <w:rPr>
          <w:rFonts w:ascii="Calibri" w:cs="Calibri" w:eastAsia="Calibri" w:hAnsi="Calibri"/>
          <w:color w:val="1A1A1A"/>
          <w:sz w:val="21"/>
          <w:szCs w:val="21"/>
        </w:rPr>
        <w:t xml:space="preserve"> beide vermelden ‘drie jaar op rij, bovenkant bandbreedte’ — geen versie verzacht dit tot ‘soms iets optimistisch’.</w:t>
      </w:r>
    </w:p>
    <w:p>
      <w:pPr>
        <w:pStyle w:val="Heading2"/>
        <w:spacing w:after="160" w:before="360"/>
      </w:pPr>
      <w:r>
        <w:rPr>
          <w:rFonts w:ascii="Calibri" w:cs="Calibri" w:eastAsia="Calibri" w:hAnsi="Calibri"/>
          <w:b/>
          <w:bCs/>
          <w:color w:val="2C5AA0"/>
          <w:sz w:val="26"/>
          <w:szCs w:val="26"/>
        </w:rPr>
        <w:t xml:space="preserve">29.4 Situatie 3 — De verwante partij</w:t>
      </w:r>
    </w:p>
    <w:p>
      <w:pPr>
        <w:spacing w:after="180" w:line="300"/>
        <w:jc w:val="both"/>
      </w:pPr>
      <w:r>
        <w:rPr>
          <w:rFonts w:ascii="Calibri" w:cs="Calibri" w:eastAsia="Calibri" w:hAnsi="Calibri"/>
          <w:color w:val="1A1A1A"/>
          <w:sz w:val="21"/>
          <w:szCs w:val="21"/>
        </w:rPr>
        <w:t xml:space="preserve">Bij een routinematige contractherziening ontdekt Sanne dat een tweede, tot nu toe onopgemerkte leverancier van Meridiaan eveneens een dochteronderneming van dezelfde moedermaatschappij als Verantis blijkt te zijn.</w:t>
      </w:r>
    </w:p>
    <w:p>
      <w:pPr>
        <w:spacing w:after="180" w:line="300"/>
        <w:jc w:val="both"/>
      </w:pPr>
      <w:r>
        <w:rPr>
          <w:rFonts w:ascii="Calibri" w:cs="Calibri" w:eastAsia="Calibri" w:hAnsi="Calibri"/>
          <w:b/>
          <w:bCs/>
          <w:color w:val="1B2A4A"/>
          <w:sz w:val="21"/>
          <w:szCs w:val="21"/>
        </w:rPr>
        <w:t xml:space="preserve">Kernprobleem:</w:t>
      </w:r>
      <w:r>
        <w:rPr>
          <w:rFonts w:ascii="Calibri" w:cs="Calibri" w:eastAsia="Calibri" w:hAnsi="Calibri"/>
          <w:color w:val="1A1A1A"/>
          <w:sz w:val="21"/>
          <w:szCs w:val="21"/>
        </w:rPr>
        <w:t xml:space="preserve"> Doordat twee schijnbaar onafhankelijke leveranciers via eigenaarschap verbonden blijken, kan concentratierisico (deel 17, niveau 2; deel 25) groter zijn dan de losse leveranciersbeoordelingen ooit lieten zien.</w:t>
      </w:r>
    </w:p>
    <w:p>
      <w:pPr>
        <w:spacing w:after="180" w:line="300"/>
        <w:jc w:val="both"/>
      </w:pPr>
      <w:r>
        <w:rPr>
          <w:rFonts w:ascii="Calibri" w:cs="Calibri" w:eastAsia="Calibri" w:hAnsi="Calibri"/>
          <w:b/>
          <w:bCs/>
          <w:color w:val="1B2A4A"/>
          <w:sz w:val="21"/>
          <w:szCs w:val="21"/>
        </w:rPr>
        <w:t xml:space="preserve">Instrument:</w:t>
      </w:r>
      <w:r>
        <w:rPr>
          <w:rFonts w:ascii="Calibri" w:cs="Calibri" w:eastAsia="Calibri" w:hAnsi="Calibri"/>
          <w:color w:val="1A1A1A"/>
          <w:sz w:val="21"/>
          <w:szCs w:val="21"/>
        </w:rPr>
        <w:t xml:space="preserve"> Concentratierisico op ondernemingsniveau (deel 25).</w:t>
      </w:r>
    </w:p>
    <w:tbl>
      <w:tblPr>
        <w:tblW w:type="pct" w:w="100%"/>
        <w:tblBorders>
          <w:top w:val="single" w:color="1B2A4A" w:sz="2"/>
          <w:left w:val="single" w:color="1B2A4A" w:sz="2"/>
          <w:bottom w:val="single" w:color="1B2A4A" w:sz="2"/>
          <w:right w:val="single" w:color="1B2A4A" w:sz="2"/>
          <w:insideH w:val="none" w:color="FFFFFF" w:sz="0"/>
          <w:insideV w:val="none" w:color="FFFFFF" w:sz="0"/>
        </w:tblBorders>
      </w:tblPr>
      <w:tblGrid>
        <w:gridCol w:w="100"/>
      </w:tblGrid>
      <w:tr>
        <w:tc>
          <w:tcPr>
            <w:shd w:fill="E8E9EC" w:color="auto" w:val="clear"/>
            <w:tcMar>
              <w:top w:type="dxa" w:w="180"/>
              <w:left w:type="dxa" w:w="240"/>
              <w:bottom w:type="dxa" w:w="180"/>
              <w:right w:type="dxa" w:w="240"/>
            </w:tcMar>
          </w:tcPr>
          <w:p>
            <w:pPr>
              <w:spacing w:after="80"/>
            </w:pPr>
            <w:r>
              <w:rPr>
                <w:rFonts w:ascii="Calibri" w:cs="Calibri" w:eastAsia="Calibri" w:hAnsi="Calibri"/>
                <w:b/>
                <w:bCs/>
                <w:color w:val="1B2A4A"/>
                <w:sz w:val="20"/>
                <w:szCs w:val="20"/>
              </w:rPr>
              <w:t xml:space="preserve">Bestuursversie</w:t>
            </w:r>
          </w:p>
          <w:p>
            <w:r>
              <w:rPr>
                <w:rFonts w:ascii="Calibri" w:cs="Calibri" w:eastAsia="Calibri" w:hAnsi="Calibri"/>
                <w:color w:val="1A1A1A"/>
                <w:sz w:val="20"/>
                <w:szCs w:val="20"/>
              </w:rPr>
              <w:t xml:space="preserve">‘We hebben ontdekt dat twee van onze leveranciers, waaronder Verantis, tot dezelfde moedermaatschappij behoren. Dit vergroot ons concentratierisico substantieel meer dan tot nu toe zichtbaar was. Ik adviseer een volledige herbeoordeling van onze leveranciersconcentratie en wil hierover binnen een maand rapporteren.’</w:t>
            </w:r>
          </w:p>
        </w:tc>
      </w:tr>
    </w:tbl>
    <w:p>
      <w:pPr>
        <w:spacing w:after="180" w:line="300"/>
        <w:jc w:val="both"/>
      </w:pPr>
      <w:r>
        <w:rPr>
          <w:rFonts w:ascii="Calibri" w:cs="Calibri" w:eastAsia="Calibri" w:hAnsi="Calibri"/>
          <w:color w:val="1A1A1A"/>
          <w:sz w:val="21"/>
          <w:szCs w:val="21"/>
        </w:rPr>
        <w:t xml:space="preserve"/>
      </w:r>
    </w:p>
    <w:tbl>
      <w:tblPr>
        <w:tblW w:type="pct" w:w="100%"/>
        <w:tblBorders>
          <w:top w:val="single" w:color="2C5AA0" w:sz="2"/>
          <w:left w:val="single" w:color="2C5AA0" w:sz="2"/>
          <w:bottom w:val="single" w:color="2C5AA0" w:sz="2"/>
          <w:right w:val="single" w:color="2C5AA0" w:sz="2"/>
          <w:insideH w:val="none" w:color="FFFFFF" w:sz="0"/>
          <w:insideV w:val="none" w:color="FFFFFF" w:sz="0"/>
        </w:tblBorders>
      </w:tblPr>
      <w:tblGrid>
        <w:gridCol w:w="100"/>
      </w:tblGrid>
      <w:tr>
        <w:tc>
          <w:tcPr>
            <w:shd w:fill="DCE6F2" w:color="auto" w:val="clear"/>
            <w:tcMar>
              <w:top w:type="dxa" w:w="180"/>
              <w:left w:type="dxa" w:w="240"/>
              <w:bottom w:type="dxa" w:w="180"/>
              <w:right w:type="dxa" w:w="240"/>
            </w:tcMar>
          </w:tcPr>
          <w:p>
            <w:pPr>
              <w:spacing w:after="80"/>
            </w:pPr>
            <w:r>
              <w:rPr>
                <w:rFonts w:ascii="Calibri" w:cs="Calibri" w:eastAsia="Calibri" w:hAnsi="Calibri"/>
                <w:b/>
                <w:bCs/>
                <w:color w:val="1B2A4A"/>
                <w:sz w:val="20"/>
                <w:szCs w:val="20"/>
              </w:rPr>
              <w:t xml:space="preserve">DNB-versie</w:t>
            </w:r>
          </w:p>
          <w:p>
            <w:r>
              <w:rPr>
                <w:rFonts w:ascii="Calibri" w:cs="Calibri" w:eastAsia="Calibri" w:hAnsi="Calibri"/>
                <w:color w:val="1A1A1A"/>
                <w:sz w:val="20"/>
                <w:szCs w:val="20"/>
              </w:rPr>
              <w:t xml:space="preserve">‘Bij reguliere contractherziening is een eigendomsrelatie tussen twee van onze leveranciers geïdentificeerd die niet eerder was vastgesteld. Wij voeren een aanvullende concentratierisicobeoordeling uit en zullen de uitkomsten daarvan meenemen in onze eerstvolgende risicorapportage.’</w:t>
            </w:r>
          </w:p>
        </w:tc>
      </w:tr>
    </w:tbl>
    <w:p>
      <w:pPr>
        <w:spacing w:after="180" w:line="300"/>
        <w:jc w:val="both"/>
      </w:pPr>
      <w:r>
        <w:rPr>
          <w:rFonts w:ascii="Calibri" w:cs="Calibri" w:eastAsia="Calibri" w:hAnsi="Calibri"/>
          <w:color w:val="1A1A1A"/>
          <w:sz w:val="21"/>
          <w:szCs w:val="21"/>
        </w:rPr>
        <w:t xml:space="preserve"/>
      </w:r>
    </w:p>
    <w:p>
      <w:pPr>
        <w:spacing w:after="180" w:line="300"/>
        <w:jc w:val="both"/>
      </w:pPr>
      <w:r>
        <w:rPr>
          <w:rFonts w:ascii="Calibri" w:cs="Calibri" w:eastAsia="Calibri" w:hAnsi="Calibri"/>
          <w:b/>
          <w:bCs/>
          <w:color w:val="1B2A4A"/>
          <w:sz w:val="21"/>
          <w:szCs w:val="21"/>
        </w:rPr>
        <w:t xml:space="preserve">Consistentietoets:</w:t>
      </w:r>
      <w:r>
        <w:rPr>
          <w:rFonts w:ascii="Calibri" w:cs="Calibri" w:eastAsia="Calibri" w:hAnsi="Calibri"/>
          <w:color w:val="1A1A1A"/>
          <w:sz w:val="21"/>
          <w:szCs w:val="21"/>
        </w:rPr>
        <w:t xml:space="preserve"> beide melden de ontdekking en de vervolgstap; geen versie bagatelliseert de eigendomsrelatie tot ‘een toevallige overeenkomst’.</w:t>
      </w:r>
    </w:p>
    <w:p>
      <w:pPr>
        <w:pStyle w:val="Heading2"/>
        <w:spacing w:after="160" w:before="360"/>
      </w:pPr>
      <w:r>
        <w:rPr>
          <w:rFonts w:ascii="Calibri" w:cs="Calibri" w:eastAsia="Calibri" w:hAnsi="Calibri"/>
          <w:b/>
          <w:bCs/>
          <w:color w:val="2C5AA0"/>
          <w:sz w:val="26"/>
          <w:szCs w:val="26"/>
        </w:rPr>
        <w:t xml:space="preserve">29.5 Situatie 4 — De overgeslagen aanvullende beoordeling</w:t>
      </w:r>
    </w:p>
    <w:p>
      <w:pPr>
        <w:spacing w:after="180" w:line="300"/>
        <w:jc w:val="both"/>
      </w:pPr>
      <w:r>
        <w:rPr>
          <w:rFonts w:ascii="Calibri" w:cs="Calibri" w:eastAsia="Calibri" w:hAnsi="Calibri"/>
          <w:color w:val="1A1A1A"/>
          <w:sz w:val="21"/>
          <w:szCs w:val="21"/>
        </w:rPr>
        <w:t xml:space="preserve">Het bestuur overweegt de aanvullende ORSA-beoordeling voor de transitie (deel 27) uit te stellen tot na de zomer, wegens drukte.</w:t>
      </w:r>
    </w:p>
    <w:p>
      <w:pPr>
        <w:spacing w:after="180" w:line="300"/>
        <w:jc w:val="both"/>
      </w:pPr>
      <w:r>
        <w:rPr>
          <w:rFonts w:ascii="Calibri" w:cs="Calibri" w:eastAsia="Calibri" w:hAnsi="Calibri"/>
          <w:b/>
          <w:bCs/>
          <w:color w:val="1B2A4A"/>
          <w:sz w:val="21"/>
          <w:szCs w:val="21"/>
        </w:rPr>
        <w:t xml:space="preserve">Kernprobleem:</w:t>
      </w:r>
      <w:r>
        <w:rPr>
          <w:rFonts w:ascii="Calibri" w:cs="Calibri" w:eastAsia="Calibri" w:hAnsi="Calibri"/>
          <w:color w:val="1A1A1A"/>
          <w:sz w:val="21"/>
          <w:szCs w:val="21"/>
        </w:rPr>
        <w:t xml:space="preserve"> Doordat de aanvullende ORSA-beoordeling voor de transitie wordt uitgesteld wegens agendadruk, kan een belangrijke wijziging van het risicoprofiel (de transitie zelf) onvoldoende tijdig worden beoordeeld, wat in strijd is met het onderliggende principe van ORSA/ERB (deel 27).</w:t>
      </w:r>
    </w:p>
    <w:p>
      <w:pPr>
        <w:spacing w:after="180" w:line="300"/>
        <w:jc w:val="both"/>
      </w:pPr>
      <w:r>
        <w:rPr>
          <w:rFonts w:ascii="Calibri" w:cs="Calibri" w:eastAsia="Calibri" w:hAnsi="Calibri"/>
          <w:b/>
          <w:bCs/>
          <w:color w:val="1B2A4A"/>
          <w:sz w:val="21"/>
          <w:szCs w:val="21"/>
        </w:rPr>
        <w:t xml:space="preserve">Instrument:</w:t>
      </w:r>
      <w:r>
        <w:rPr>
          <w:rFonts w:ascii="Calibri" w:cs="Calibri" w:eastAsia="Calibri" w:hAnsi="Calibri"/>
          <w:color w:val="1A1A1A"/>
          <w:sz w:val="21"/>
          <w:szCs w:val="21"/>
        </w:rPr>
        <w:t xml:space="preserve"> ORSA-verplichting bij belangrijke wijziging risicoprofiel (deel 27); Kernzin 16 (wettelijk mandaat).</w:t>
      </w:r>
    </w:p>
    <w:tbl>
      <w:tblPr>
        <w:tblW w:type="pct" w:w="100%"/>
        <w:tblBorders>
          <w:top w:val="single" w:color="1B2A4A" w:sz="2"/>
          <w:left w:val="single" w:color="1B2A4A" w:sz="2"/>
          <w:bottom w:val="single" w:color="1B2A4A" w:sz="2"/>
          <w:right w:val="single" w:color="1B2A4A" w:sz="2"/>
          <w:insideH w:val="none" w:color="FFFFFF" w:sz="0"/>
          <w:insideV w:val="none" w:color="FFFFFF" w:sz="0"/>
        </w:tblBorders>
      </w:tblPr>
      <w:tblGrid>
        <w:gridCol w:w="100"/>
      </w:tblGrid>
      <w:tr>
        <w:tc>
          <w:tcPr>
            <w:shd w:fill="E8E9EC" w:color="auto" w:val="clear"/>
            <w:tcMar>
              <w:top w:type="dxa" w:w="180"/>
              <w:left w:type="dxa" w:w="240"/>
              <w:bottom w:type="dxa" w:w="180"/>
              <w:right w:type="dxa" w:w="240"/>
            </w:tcMar>
          </w:tcPr>
          <w:p>
            <w:pPr>
              <w:spacing w:after="80"/>
            </w:pPr>
            <w:r>
              <w:rPr>
                <w:rFonts w:ascii="Calibri" w:cs="Calibri" w:eastAsia="Calibri" w:hAnsi="Calibri"/>
                <w:b/>
                <w:bCs/>
                <w:color w:val="1B2A4A"/>
                <w:sz w:val="20"/>
                <w:szCs w:val="20"/>
              </w:rPr>
              <w:t xml:space="preserve">Bestuursversie</w:t>
            </w:r>
          </w:p>
          <w:p>
            <w:r>
              <w:rPr>
                <w:rFonts w:ascii="Calibri" w:cs="Calibri" w:eastAsia="Calibri" w:hAnsi="Calibri"/>
                <w:color w:val="1A1A1A"/>
                <w:sz w:val="20"/>
                <w:szCs w:val="20"/>
              </w:rPr>
              <w:t xml:space="preserve">‘Uitstel van de aanvullende ORSA-beoordeling tot na de zomer is niet in lijn met de eis dat een belangrijke wijziging van ons risicoprofiel tijdig wordt beoordeeld. Ik adviseer de beoordeling nu uit te voeren, desnoods in verkorte vorm, en vraag een go/no-go besluit hierover deze week.’</w:t>
            </w:r>
          </w:p>
        </w:tc>
      </w:tr>
    </w:tbl>
    <w:p>
      <w:pPr>
        <w:spacing w:after="180" w:line="300"/>
        <w:jc w:val="both"/>
      </w:pPr>
      <w:r>
        <w:rPr>
          <w:rFonts w:ascii="Calibri" w:cs="Calibri" w:eastAsia="Calibri" w:hAnsi="Calibri"/>
          <w:color w:val="1A1A1A"/>
          <w:sz w:val="21"/>
          <w:szCs w:val="21"/>
        </w:rPr>
        <w:t xml:space="preserve"/>
      </w:r>
    </w:p>
    <w:tbl>
      <w:tblPr>
        <w:tblW w:type="pct" w:w="100%"/>
        <w:tblBorders>
          <w:top w:val="single" w:color="2C5AA0" w:sz="2"/>
          <w:left w:val="single" w:color="2C5AA0" w:sz="2"/>
          <w:bottom w:val="single" w:color="2C5AA0" w:sz="2"/>
          <w:right w:val="single" w:color="2C5AA0" w:sz="2"/>
          <w:insideH w:val="none" w:color="FFFFFF" w:sz="0"/>
          <w:insideV w:val="none" w:color="FFFFFF" w:sz="0"/>
        </w:tblBorders>
      </w:tblPr>
      <w:tblGrid>
        <w:gridCol w:w="100"/>
      </w:tblGrid>
      <w:tr>
        <w:tc>
          <w:tcPr>
            <w:shd w:fill="DCE6F2" w:color="auto" w:val="clear"/>
            <w:tcMar>
              <w:top w:type="dxa" w:w="180"/>
              <w:left w:type="dxa" w:w="240"/>
              <w:bottom w:type="dxa" w:w="180"/>
              <w:right w:type="dxa" w:w="240"/>
            </w:tcMar>
          </w:tcPr>
          <w:p>
            <w:pPr>
              <w:spacing w:after="80"/>
            </w:pPr>
            <w:r>
              <w:rPr>
                <w:rFonts w:ascii="Calibri" w:cs="Calibri" w:eastAsia="Calibri" w:hAnsi="Calibri"/>
                <w:b/>
                <w:bCs/>
                <w:color w:val="1B2A4A"/>
                <w:sz w:val="20"/>
                <w:szCs w:val="20"/>
              </w:rPr>
              <w:t xml:space="preserve">DNB-versie</w:t>
            </w:r>
          </w:p>
          <w:p>
            <w:r>
              <w:rPr>
                <w:rFonts w:ascii="Calibri" w:cs="Calibri" w:eastAsia="Calibri" w:hAnsi="Calibri"/>
                <w:color w:val="1A1A1A"/>
                <w:sz w:val="20"/>
                <w:szCs w:val="20"/>
              </w:rPr>
              <w:t xml:space="preserve">‘Wij hebben het voornemen besproken om de aanvullende risicobeoordeling voor de transitie later dit jaar uit te voeren; de risicobeheerfunctie heeft hierover een afwijkend advies gegeven, gericht op tijdige beoordeling. Het bestuur weegt dit advies momenteel.’</w:t>
            </w:r>
          </w:p>
        </w:tc>
      </w:tr>
    </w:tbl>
    <w:p>
      <w:pPr>
        <w:spacing w:after="180" w:line="300"/>
        <w:jc w:val="both"/>
      </w:pPr>
      <w:r>
        <w:rPr>
          <w:rFonts w:ascii="Calibri" w:cs="Calibri" w:eastAsia="Calibri" w:hAnsi="Calibri"/>
          <w:color w:val="1A1A1A"/>
          <w:sz w:val="21"/>
          <w:szCs w:val="21"/>
        </w:rPr>
        <w:t xml:space="preserve"/>
      </w:r>
    </w:p>
    <w:p>
      <w:pPr>
        <w:spacing w:after="180" w:line="300"/>
        <w:jc w:val="both"/>
      </w:pPr>
      <w:r>
        <w:rPr>
          <w:rFonts w:ascii="Calibri" w:cs="Calibri" w:eastAsia="Calibri" w:hAnsi="Calibri"/>
          <w:b/>
          <w:bCs/>
          <w:color w:val="1B2A4A"/>
          <w:sz w:val="21"/>
          <w:szCs w:val="21"/>
        </w:rPr>
        <w:t xml:space="preserve">Consistentietoets:</w:t>
      </w:r>
      <w:r>
        <w:rPr>
          <w:rFonts w:ascii="Calibri" w:cs="Calibri" w:eastAsia="Calibri" w:hAnsi="Calibri"/>
          <w:color w:val="1A1A1A"/>
          <w:sz w:val="21"/>
          <w:szCs w:val="21"/>
        </w:rPr>
        <w:t xml:space="preserve"> de DNB-versie meldt het afwijkende advies expliciet, ook al is er nog geen definitief besluit — geen versie verbergt dat er interne discussie is.</w:t>
      </w:r>
    </w:p>
    <w:p>
      <w:pPr>
        <w:pStyle w:val="Heading2"/>
        <w:spacing w:after="160" w:before="360"/>
      </w:pPr>
      <w:r>
        <w:rPr>
          <w:rFonts w:ascii="Calibri" w:cs="Calibri" w:eastAsia="Calibri" w:hAnsi="Calibri"/>
          <w:b/>
          <w:bCs/>
          <w:color w:val="2C5AA0"/>
          <w:sz w:val="26"/>
          <w:szCs w:val="26"/>
        </w:rPr>
        <w:t xml:space="preserve">29.6 Situatie 5 — Het te snel geruststellende dashboard</w:t>
      </w:r>
    </w:p>
    <w:p>
      <w:pPr>
        <w:spacing w:after="180" w:line="300"/>
        <w:jc w:val="both"/>
      </w:pPr>
      <w:r>
        <w:rPr>
          <w:rFonts w:ascii="Calibri" w:cs="Calibri" w:eastAsia="Calibri" w:hAnsi="Calibri"/>
          <w:color w:val="1A1A1A"/>
          <w:sz w:val="21"/>
          <w:szCs w:val="21"/>
        </w:rPr>
        <w:t xml:space="preserve">Een junior collega van Sanne stelt een dashboard samen voor een tussentijdse update, met vooral groene en gele vlakken. Het Verantis-gerelateerde BCM-hiaat staat er niet expliciet in.</w:t>
      </w:r>
    </w:p>
    <w:p>
      <w:pPr>
        <w:spacing w:after="180" w:line="300"/>
        <w:jc w:val="both"/>
      </w:pPr>
      <w:r>
        <w:rPr>
          <w:rFonts w:ascii="Calibri" w:cs="Calibri" w:eastAsia="Calibri" w:hAnsi="Calibri"/>
          <w:b/>
          <w:bCs/>
          <w:color w:val="1B2A4A"/>
          <w:sz w:val="21"/>
          <w:szCs w:val="21"/>
        </w:rPr>
        <w:t xml:space="preserve">Kernprobleem:</w:t>
      </w:r>
      <w:r>
        <w:rPr>
          <w:rFonts w:ascii="Calibri" w:cs="Calibri" w:eastAsia="Calibri" w:hAnsi="Calibri"/>
          <w:color w:val="1A1A1A"/>
          <w:sz w:val="21"/>
          <w:szCs w:val="21"/>
        </w:rPr>
        <w:t xml:space="preserve"> Doordat het dashboard vooral groen/geel toont zonder het bekende BCM-hiaat te vermelden, kan de dashboardvalkuil (deel 19, niveau 2) een vertekend, geruststellender beeld geven dan gerechtvaardigd.</w:t>
      </w:r>
    </w:p>
    <w:p>
      <w:pPr>
        <w:spacing w:after="180" w:line="300"/>
        <w:jc w:val="both"/>
      </w:pPr>
      <w:r>
        <w:rPr>
          <w:rFonts w:ascii="Calibri" w:cs="Calibri" w:eastAsia="Calibri" w:hAnsi="Calibri"/>
          <w:b/>
          <w:bCs/>
          <w:color w:val="1B2A4A"/>
          <w:sz w:val="21"/>
          <w:szCs w:val="21"/>
        </w:rPr>
        <w:t xml:space="preserve">Instrument:</w:t>
      </w:r>
      <w:r>
        <w:rPr>
          <w:rFonts w:ascii="Calibri" w:cs="Calibri" w:eastAsia="Calibri" w:hAnsi="Calibri"/>
          <w:color w:val="1A1A1A"/>
          <w:sz w:val="21"/>
          <w:szCs w:val="21"/>
        </w:rPr>
        <w:t xml:space="preserve"> Dashboardvalkuil, drie vormen (deel 19, niveau 2); Kernzin 13.</w:t>
      </w:r>
    </w:p>
    <w:tbl>
      <w:tblPr>
        <w:tblW w:type="pct" w:w="100%"/>
        <w:tblBorders>
          <w:top w:val="single" w:color="1B2A4A" w:sz="2"/>
          <w:left w:val="single" w:color="1B2A4A" w:sz="2"/>
          <w:bottom w:val="single" w:color="1B2A4A" w:sz="2"/>
          <w:right w:val="single" w:color="1B2A4A" w:sz="2"/>
          <w:insideH w:val="none" w:color="FFFFFF" w:sz="0"/>
          <w:insideV w:val="none" w:color="FFFFFF" w:sz="0"/>
        </w:tblBorders>
      </w:tblPr>
      <w:tblGrid>
        <w:gridCol w:w="100"/>
      </w:tblGrid>
      <w:tr>
        <w:tc>
          <w:tcPr>
            <w:shd w:fill="E8E9EC" w:color="auto" w:val="clear"/>
            <w:tcMar>
              <w:top w:type="dxa" w:w="180"/>
              <w:left w:type="dxa" w:w="240"/>
              <w:bottom w:type="dxa" w:w="180"/>
              <w:right w:type="dxa" w:w="240"/>
            </w:tcMar>
          </w:tcPr>
          <w:p>
            <w:pPr>
              <w:spacing w:after="80"/>
            </w:pPr>
            <w:r>
              <w:rPr>
                <w:rFonts w:ascii="Calibri" w:cs="Calibri" w:eastAsia="Calibri" w:hAnsi="Calibri"/>
                <w:b/>
                <w:bCs/>
                <w:color w:val="1B2A4A"/>
                <w:sz w:val="20"/>
                <w:szCs w:val="20"/>
              </w:rPr>
              <w:t xml:space="preserve">Bestuursversie</w:t>
            </w:r>
          </w:p>
          <w:p>
            <w:r>
              <w:rPr>
                <w:rFonts w:ascii="Calibri" w:cs="Calibri" w:eastAsia="Calibri" w:hAnsi="Calibri"/>
                <w:color w:val="1A1A1A"/>
                <w:sz w:val="20"/>
                <w:szCs w:val="20"/>
              </w:rPr>
              <w:t xml:space="preserve">‘Het concept-dashboard voor de tussentijdse update laat een geruststellender beeld zien dan gerechtvaardigd — het bekende hiaat in onze uitwijkvoorbereiding voor Verantis ontbreekt. Ik heb dit laten aanpassen vóór verzending en wil dat dit hiaat een vaste plek krijgt in elke rapportage totdat het is opgelost.’</w:t>
            </w:r>
          </w:p>
        </w:tc>
      </w:tr>
    </w:tbl>
    <w:p>
      <w:pPr>
        <w:spacing w:after="180" w:line="300"/>
        <w:jc w:val="both"/>
      </w:pPr>
      <w:r>
        <w:rPr>
          <w:rFonts w:ascii="Calibri" w:cs="Calibri" w:eastAsia="Calibri" w:hAnsi="Calibri"/>
          <w:color w:val="1A1A1A"/>
          <w:sz w:val="21"/>
          <w:szCs w:val="21"/>
        </w:rPr>
        <w:t xml:space="preserve"/>
      </w:r>
    </w:p>
    <w:tbl>
      <w:tblPr>
        <w:tblW w:type="pct" w:w="100%"/>
        <w:tblBorders>
          <w:top w:val="single" w:color="2C5AA0" w:sz="2"/>
          <w:left w:val="single" w:color="2C5AA0" w:sz="2"/>
          <w:bottom w:val="single" w:color="2C5AA0" w:sz="2"/>
          <w:right w:val="single" w:color="2C5AA0" w:sz="2"/>
          <w:insideH w:val="none" w:color="FFFFFF" w:sz="0"/>
          <w:insideV w:val="none" w:color="FFFFFF" w:sz="0"/>
        </w:tblBorders>
      </w:tblPr>
      <w:tblGrid>
        <w:gridCol w:w="100"/>
      </w:tblGrid>
      <w:tr>
        <w:tc>
          <w:tcPr>
            <w:shd w:fill="DCE6F2" w:color="auto" w:val="clear"/>
            <w:tcMar>
              <w:top w:type="dxa" w:w="180"/>
              <w:left w:type="dxa" w:w="240"/>
              <w:bottom w:type="dxa" w:w="180"/>
              <w:right w:type="dxa" w:w="240"/>
            </w:tcMar>
          </w:tcPr>
          <w:p>
            <w:pPr>
              <w:spacing w:after="80"/>
            </w:pPr>
            <w:r>
              <w:rPr>
                <w:rFonts w:ascii="Calibri" w:cs="Calibri" w:eastAsia="Calibri" w:hAnsi="Calibri"/>
                <w:b/>
                <w:bCs/>
                <w:color w:val="1B2A4A"/>
                <w:sz w:val="20"/>
                <w:szCs w:val="20"/>
              </w:rPr>
              <w:t xml:space="preserve">DNB-versie</w:t>
            </w:r>
          </w:p>
          <w:p>
            <w:r>
              <w:rPr>
                <w:rFonts w:ascii="Calibri" w:cs="Calibri" w:eastAsia="Calibri" w:hAnsi="Calibri"/>
                <w:color w:val="1A1A1A"/>
                <w:sz w:val="20"/>
                <w:szCs w:val="20"/>
              </w:rPr>
              <w:t xml:space="preserve">‘Onze reguliere risicorapportages bevatten een vast, expliciet punt over het bekende hiaat in onze uitwijkvoorbereiding voor een kritieke uitbestedingspartner, tot het moment waarop dit is opgelost.’</w:t>
            </w:r>
          </w:p>
        </w:tc>
      </w:tr>
    </w:tbl>
    <w:p>
      <w:pPr>
        <w:spacing w:after="180" w:line="300"/>
        <w:jc w:val="both"/>
      </w:pPr>
      <w:r>
        <w:rPr>
          <w:rFonts w:ascii="Calibri" w:cs="Calibri" w:eastAsia="Calibri" w:hAnsi="Calibri"/>
          <w:color w:val="1A1A1A"/>
          <w:sz w:val="21"/>
          <w:szCs w:val="21"/>
        </w:rPr>
        <w:t xml:space="preserve"/>
      </w:r>
    </w:p>
    <w:p>
      <w:pPr>
        <w:spacing w:after="180" w:line="300"/>
        <w:jc w:val="both"/>
      </w:pPr>
      <w:r>
        <w:rPr>
          <w:rFonts w:ascii="Calibri" w:cs="Calibri" w:eastAsia="Calibri" w:hAnsi="Calibri"/>
          <w:b/>
          <w:bCs/>
          <w:color w:val="1B2A4A"/>
          <w:sz w:val="21"/>
          <w:szCs w:val="21"/>
        </w:rPr>
        <w:t xml:space="preserve">Consistentietoets:</w:t>
      </w:r>
      <w:r>
        <w:rPr>
          <w:rFonts w:ascii="Calibri" w:cs="Calibri" w:eastAsia="Calibri" w:hAnsi="Calibri"/>
          <w:color w:val="1A1A1A"/>
          <w:sz w:val="21"/>
          <w:szCs w:val="21"/>
        </w:rPr>
        <w:t xml:space="preserve"> de bestuursversie is intern-corrigerend (‘ik heb dit laten aanpassen’), de DNB-versie beschrijft het eindresultaat van die correctie — beide impliceren hetzelfde feit: het hiaat wordt nu wél consequent vermeld.</w:t>
      </w:r>
    </w:p>
    <w:p>
      <w:pPr>
        <w:pStyle w:val="Heading2"/>
        <w:spacing w:after="160" w:before="360"/>
      </w:pPr>
      <w:r>
        <w:rPr>
          <w:rFonts w:ascii="Calibri" w:cs="Calibri" w:eastAsia="Calibri" w:hAnsi="Calibri"/>
          <w:b/>
          <w:bCs/>
          <w:color w:val="2C5AA0"/>
          <w:sz w:val="26"/>
          <w:szCs w:val="26"/>
        </w:rPr>
        <w:t xml:space="preserve">29.7 Situatie 6 — Het finale go/no-go-advies</w:t>
      </w:r>
    </w:p>
    <w:p>
      <w:pPr>
        <w:spacing w:after="180" w:line="300"/>
        <w:jc w:val="both"/>
      </w:pPr>
      <w:r>
        <w:rPr>
          <w:rFonts w:ascii="Calibri" w:cs="Calibri" w:eastAsia="Calibri" w:hAnsi="Calibri"/>
          <w:color w:val="1A1A1A"/>
          <w:sz w:val="21"/>
          <w:szCs w:val="21"/>
        </w:rPr>
        <w:t xml:space="preserve">Zes maanden vóór de definitieve invaardatum moet Sanne een integraal go/no-go-advies geven over de gereedheid van Meridiaan voor de Stelselovergang, alle eerdere bevindingen (BCM-hiaat, projectierendement, concentratierisico) meewegend.</w:t>
      </w:r>
    </w:p>
    <w:p>
      <w:pPr>
        <w:spacing w:after="180" w:line="300"/>
        <w:jc w:val="both"/>
      </w:pPr>
      <w:r>
        <w:rPr>
          <w:rFonts w:ascii="Calibri" w:cs="Calibri" w:eastAsia="Calibri" w:hAnsi="Calibri"/>
          <w:b/>
          <w:bCs/>
          <w:color w:val="1B2A4A"/>
          <w:sz w:val="21"/>
          <w:szCs w:val="21"/>
        </w:rPr>
        <w:t xml:space="preserve">Kernprobleem:</w:t>
      </w:r>
      <w:r>
        <w:rPr>
          <w:rFonts w:ascii="Calibri" w:cs="Calibri" w:eastAsia="Calibri" w:hAnsi="Calibri"/>
          <w:color w:val="1A1A1A"/>
          <w:sz w:val="21"/>
          <w:szCs w:val="21"/>
        </w:rPr>
        <w:t xml:space="preserve"> Doordat meerdere, elk op zichzelf beheersbare bevindingen (BCM-hiaat, aanhoudend optimistisch projectierendement, verhoogd concentratierisico) zich opstapelen zonder gezamenlijke weging, kan het cumulatieve risico groter zijn dan de som van de individuele beoordelingen suggereert — direct de aggregatieles uit deel 17 en deel 26, nu op het hoogste niveau toegepast.</w:t>
      </w:r>
    </w:p>
    <w:p>
      <w:pPr>
        <w:spacing w:after="180" w:line="300"/>
        <w:jc w:val="both"/>
      </w:pPr>
      <w:r>
        <w:rPr>
          <w:rFonts w:ascii="Calibri" w:cs="Calibri" w:eastAsia="Calibri" w:hAnsi="Calibri"/>
          <w:b/>
          <w:bCs/>
          <w:color w:val="1B2A4A"/>
          <w:sz w:val="21"/>
          <w:szCs w:val="21"/>
        </w:rPr>
        <w:t xml:space="preserve">Instrument:</w:t>
      </w:r>
      <w:r>
        <w:rPr>
          <w:rFonts w:ascii="Calibri" w:cs="Calibri" w:eastAsia="Calibri" w:hAnsi="Calibri"/>
          <w:color w:val="1A1A1A"/>
          <w:sz w:val="21"/>
          <w:szCs w:val="21"/>
        </w:rPr>
        <w:t xml:space="preserve"> Alle eerdere instrumenten samengebracht; Kernzin 21 (overtuigen/escaleren/nooit zwijgen) als achtergrond voor de toon van het advies.</w:t>
      </w:r>
    </w:p>
    <w:tbl>
      <w:tblPr>
        <w:tblW w:type="pct" w:w="100%"/>
        <w:tblBorders>
          <w:top w:val="single" w:color="1B2A4A" w:sz="2"/>
          <w:left w:val="single" w:color="1B2A4A" w:sz="2"/>
          <w:bottom w:val="single" w:color="1B2A4A" w:sz="2"/>
          <w:right w:val="single" w:color="1B2A4A" w:sz="2"/>
          <w:insideH w:val="none" w:color="FFFFFF" w:sz="0"/>
          <w:insideV w:val="none" w:color="FFFFFF" w:sz="0"/>
        </w:tblBorders>
      </w:tblPr>
      <w:tblGrid>
        <w:gridCol w:w="100"/>
      </w:tblGrid>
      <w:tr>
        <w:tc>
          <w:tcPr>
            <w:shd w:fill="E8E9EC" w:color="auto" w:val="clear"/>
            <w:tcMar>
              <w:top w:type="dxa" w:w="180"/>
              <w:left w:type="dxa" w:w="240"/>
              <w:bottom w:type="dxa" w:w="180"/>
              <w:right w:type="dxa" w:w="240"/>
            </w:tcMar>
          </w:tcPr>
          <w:p>
            <w:pPr>
              <w:spacing w:after="80"/>
            </w:pPr>
            <w:r>
              <w:rPr>
                <w:rFonts w:ascii="Calibri" w:cs="Calibri" w:eastAsia="Calibri" w:hAnsi="Calibri"/>
                <w:b/>
                <w:bCs/>
                <w:color w:val="1B2A4A"/>
                <w:sz w:val="20"/>
                <w:szCs w:val="20"/>
              </w:rPr>
              <w:t xml:space="preserve">Bestuursversie</w:t>
            </w:r>
          </w:p>
          <w:p>
            <w:r>
              <w:rPr>
                <w:rFonts w:ascii="Calibri" w:cs="Calibri" w:eastAsia="Calibri" w:hAnsi="Calibri"/>
                <w:color w:val="1A1A1A"/>
                <w:sz w:val="20"/>
                <w:szCs w:val="20"/>
              </w:rPr>
              <w:t xml:space="preserve">‘Mijn integrale advies is: nog geen onvoorwaardelijke go. Drie bevindingen — het BCM-hiaat rond Verantis, het aanhoudend optimistische projectierendement, en het nieuw ontdekte concentratierisico — zijn elk op zichzelf beheersbaar, maar samen vormen ze een groter risico dan afzonderlijk zichtbaar was. Ik adviseer een voorwaardelijke go, met drie concrete, gedateerde voorwaarden vóór de definitieve datum.’</w:t>
            </w:r>
          </w:p>
        </w:tc>
      </w:tr>
    </w:tbl>
    <w:p>
      <w:pPr>
        <w:spacing w:after="180" w:line="300"/>
        <w:jc w:val="both"/>
      </w:pPr>
      <w:r>
        <w:rPr>
          <w:rFonts w:ascii="Calibri" w:cs="Calibri" w:eastAsia="Calibri" w:hAnsi="Calibri"/>
          <w:color w:val="1A1A1A"/>
          <w:sz w:val="21"/>
          <w:szCs w:val="21"/>
        </w:rPr>
        <w:t xml:space="preserve"/>
      </w:r>
    </w:p>
    <w:tbl>
      <w:tblPr>
        <w:tblW w:type="pct" w:w="100%"/>
        <w:tblBorders>
          <w:top w:val="single" w:color="2C5AA0" w:sz="2"/>
          <w:left w:val="single" w:color="2C5AA0" w:sz="2"/>
          <w:bottom w:val="single" w:color="2C5AA0" w:sz="2"/>
          <w:right w:val="single" w:color="2C5AA0" w:sz="2"/>
          <w:insideH w:val="none" w:color="FFFFFF" w:sz="0"/>
          <w:insideV w:val="none" w:color="FFFFFF" w:sz="0"/>
        </w:tblBorders>
      </w:tblPr>
      <w:tblGrid>
        <w:gridCol w:w="100"/>
      </w:tblGrid>
      <w:tr>
        <w:tc>
          <w:tcPr>
            <w:shd w:fill="DCE6F2" w:color="auto" w:val="clear"/>
            <w:tcMar>
              <w:top w:type="dxa" w:w="180"/>
              <w:left w:type="dxa" w:w="240"/>
              <w:bottom w:type="dxa" w:w="180"/>
              <w:right w:type="dxa" w:w="240"/>
            </w:tcMar>
          </w:tcPr>
          <w:p>
            <w:pPr>
              <w:spacing w:after="80"/>
            </w:pPr>
            <w:r>
              <w:rPr>
                <w:rFonts w:ascii="Calibri" w:cs="Calibri" w:eastAsia="Calibri" w:hAnsi="Calibri"/>
                <w:b/>
                <w:bCs/>
                <w:color w:val="1B2A4A"/>
                <w:sz w:val="20"/>
                <w:szCs w:val="20"/>
              </w:rPr>
              <w:t xml:space="preserve">DNB-versie</w:t>
            </w:r>
          </w:p>
          <w:p>
            <w:r>
              <w:rPr>
                <w:rFonts w:ascii="Calibri" w:cs="Calibri" w:eastAsia="Calibri" w:hAnsi="Calibri"/>
                <w:color w:val="1A1A1A"/>
                <w:sz w:val="20"/>
                <w:szCs w:val="20"/>
              </w:rPr>
              <w:t xml:space="preserve">‘Onze risicobeheerfunctie heeft een integraal advies uitgebracht over onze gereedheid voor de transitie, waarin drie eerder gerapporteerde bevindingen in onderlinge samenhang zijn gewogen. Het advies luidt: voorwaardelijke gereedheid, met drie concrete voorwaarden die vóór de definitieve invaardatum moeten zijn vervuld. Het bestuur bespreekt dit advies in de eerstvolgende vergadering.’</w:t>
            </w:r>
          </w:p>
        </w:tc>
      </w:tr>
    </w:tbl>
    <w:p>
      <w:pPr>
        <w:spacing w:after="180" w:line="300"/>
        <w:jc w:val="both"/>
      </w:pPr>
      <w:r>
        <w:rPr>
          <w:rFonts w:ascii="Calibri" w:cs="Calibri" w:eastAsia="Calibri" w:hAnsi="Calibri"/>
          <w:color w:val="1A1A1A"/>
          <w:sz w:val="21"/>
          <w:szCs w:val="21"/>
        </w:rPr>
        <w:t xml:space="preserve"/>
      </w:r>
    </w:p>
    <w:p>
      <w:pPr>
        <w:spacing w:after="180" w:line="300"/>
        <w:jc w:val="both"/>
      </w:pPr>
      <w:r>
        <w:rPr>
          <w:rFonts w:ascii="Calibri" w:cs="Calibri" w:eastAsia="Calibri" w:hAnsi="Calibri"/>
          <w:b/>
          <w:bCs/>
          <w:color w:val="1B2A4A"/>
          <w:sz w:val="21"/>
          <w:szCs w:val="21"/>
        </w:rPr>
        <w:t xml:space="preserve">Consistentietoets:</w:t>
      </w:r>
      <w:r>
        <w:rPr>
          <w:rFonts w:ascii="Calibri" w:cs="Calibri" w:eastAsia="Calibri" w:hAnsi="Calibri"/>
          <w:color w:val="1A1A1A"/>
          <w:sz w:val="21"/>
          <w:szCs w:val="21"/>
        </w:rPr>
        <w:t xml:space="preserve"> beide versies noemen ‘voorwaardelijke go’ en dezelfde drie bevindingen — geen versie verzacht ‘nog geen onvoorwaardelijke go’ tot ‘we liggen op schema’.</w:t>
      </w:r>
    </w:p>
    <w:p>
      <w:pPr>
        <w:pStyle w:val="Heading2"/>
        <w:spacing w:after="160" w:before="360"/>
      </w:pPr>
      <w:r>
        <w:rPr>
          <w:rFonts w:ascii="Calibri" w:cs="Calibri" w:eastAsia="Calibri" w:hAnsi="Calibri"/>
          <w:b/>
          <w:bCs/>
          <w:color w:val="2C5AA0"/>
          <w:sz w:val="26"/>
          <w:szCs w:val="26"/>
        </w:rPr>
        <w:t xml:space="preserve">Samenvatting van deel 29</w:t>
      </w:r>
    </w:p>
    <w:p>
      <w:pPr>
        <w:pStyle w:val="ListParagraph"/>
        <w:numPr>
          <w:ilvl w:val="0"/>
          <w:numId w:val="2"/>
        </w:numPr>
        <w:spacing w:after="100" w:line="280"/>
      </w:pPr>
      <w:r>
        <w:rPr>
          <w:rFonts w:ascii="Calibri" w:cs="Calibri" w:eastAsia="Calibri" w:hAnsi="Calibri"/>
          <w:color w:val="1A1A1A"/>
          <w:sz w:val="21"/>
          <w:szCs w:val="21"/>
        </w:rPr>
        <w:t xml:space="preserve">Geen nieuwe stof — een toepassingsoefening onder tijdsdruk, met de vijfstappenroutine als vast werkritme.</w:t>
      </w:r>
    </w:p>
    <w:p>
      <w:pPr>
        <w:pStyle w:val="ListParagraph"/>
        <w:numPr>
          <w:ilvl w:val="0"/>
          <w:numId w:val="2"/>
        </w:numPr>
        <w:spacing w:after="100" w:line="280"/>
      </w:pPr>
      <w:r>
        <w:rPr>
          <w:rFonts w:ascii="Calibri" w:cs="Calibri" w:eastAsia="Calibri" w:hAnsi="Calibri"/>
          <w:color w:val="1A1A1A"/>
          <w:sz w:val="21"/>
          <w:szCs w:val="21"/>
        </w:rPr>
        <w:t xml:space="preserve">Zes situaties, elk vereist een bestuursversie en een DNB-versie, circa honderd woorden elk, met identieke onderliggende feiten en verschillende nadruk — de kernregel uit deel 19 (niveau 2) in de praktijk.</w:t>
      </w:r>
    </w:p>
    <w:p>
      <w:pPr>
        <w:pStyle w:val="ListParagraph"/>
        <w:numPr>
          <w:ilvl w:val="0"/>
          <w:numId w:val="2"/>
        </w:numPr>
        <w:spacing w:after="100" w:line="280"/>
      </w:pPr>
      <w:r>
        <w:rPr>
          <w:rFonts w:ascii="Calibri" w:cs="Calibri" w:eastAsia="Calibri" w:hAnsi="Calibri"/>
          <w:color w:val="1A1A1A"/>
          <w:sz w:val="21"/>
          <w:szCs w:val="21"/>
        </w:rPr>
        <w:t xml:space="preserve">Situatie 6 (het finale go/no-go-advies) is een directe generale repetitie voor de aard van het advies dat in de masterproef wordt gevraagd.</w:t>
      </w:r>
    </w:p>
    <w:p>
      <w:pPr>
        <w:pStyle w:val="Heading2"/>
        <w:spacing w:after="160" w:before="360"/>
      </w:pPr>
      <w:r>
        <w:rPr>
          <w:rFonts w:ascii="Calibri" w:cs="Calibri" w:eastAsia="Calibri" w:hAnsi="Calibri"/>
          <w:b/>
          <w:bCs/>
          <w:color w:val="2C5AA0"/>
          <w:sz w:val="26"/>
          <w:szCs w:val="26"/>
        </w:rPr>
        <w:t xml:space="preserve">Vooruitblik</w:t>
      </w:r>
    </w:p>
    <w:p>
      <w:pPr>
        <w:spacing w:after="180" w:line="300"/>
        <w:jc w:val="both"/>
      </w:pPr>
      <w:r>
        <w:rPr>
          <w:rFonts w:ascii="Calibri" w:cs="Calibri" w:eastAsia="Calibri" w:hAnsi="Calibri"/>
          <w:color w:val="1A1A1A"/>
          <w:sz w:val="21"/>
          <w:szCs w:val="21"/>
        </w:rPr>
        <w:t xml:space="preserve">Deel 30, over twee dagdelen, is de masterproef: het scenario waar dit hele niveau — en met name het omgekeerde-stresstest-scenario uit deel 27 — naartoe heeft gewerkt, wordt werkelijkheid.</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2026-08-17T07:23:04.137Z</dcterms:created>
  <dcterms:modified xsi:type="dcterms:W3CDTF">2026-08-17T07:23:04.139Z</dcterms:modified>
</cp:coreProperties>
</file>

<file path=docProps/custom.xml><?xml version="1.0" encoding="utf-8"?>
<Properties xmlns="http://schemas.openxmlformats.org/officeDocument/2006/custom-properties" xmlns:vt="http://schemas.openxmlformats.org/officeDocument/2006/docPropsVTypes"/>
</file>