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29 — Casuïstiek-marathon</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29 — Werkboek</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Dit werkboek bevat zes nieuwe, ongeziene situaties (anders dan de zes in de reader) voor eigen oefening onder tijdsdruk. Werk elke situatie binnen vijftien minuten uit volgens de vijfstappenroutine, vóórdat je de modeluitwerking bekijkt.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Oefensituatie 1</w:t>
      </w:r>
    </w:p>
    <w:p>
      <w:pPr>
        <w:spacing w:after="180" w:line="300"/>
        <w:jc w:val="both"/>
      </w:pPr>
      <w:r>
        <w:rPr>
          <w:rFonts w:ascii="Calibri" w:cs="Calibri" w:eastAsia="Calibri" w:hAnsi="Calibri"/>
          <w:color w:val="1A1A1A"/>
          <w:sz w:val="21"/>
          <w:szCs w:val="21"/>
        </w:rPr>
        <w:t xml:space="preserve">Een nieuwe medewerker bij Meridiaan ontdekt dat een deel van de historische conversiedata (uit de WGP 2.0-herstart, niveau 1) nooit is gearchiveerd volgens het geldende bewaarbeleid.</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historische conversiedata niet volgens het bewaarbeleid is gearchiveerd, kan Meridiaan bij een toekomstige controle of geschil niet aantonen hoe de conversie destijds is uitgevoerd, waardoor de verantwoordingslast bij een eventueel dispuut toeneemt.</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Registerdiscipline (deel 7, niveau 1) toegepast op documentatie in plaats van op risico's zelf; adequaatheid van besluitvorming/verantwoording (deel 24).</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‘We hebben een archiveringshiaat ontdekt in de historische conversiedata van WGP 2.0. Dit risico is beperkt van omvang maar principieel relevant voor onze verantwoordingsplicht. Ik stel voor dit binnen een maand te herstellen en het bewaarbeleid steekproefsgewijs te herzien voor andere dossiers.’</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‘Bij een interne controle is een archiveringshiaat geconstateerd in historische projectdocumentatie. Wij hebben maatregelen getroffen om dit te herstellen en voeren een bredere steekproef uit naar vergelijkbare hiaten.’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melden hetzelfde feit (archiveringshiaat) en dezelfde vervolgstap (herstel + steekproef).</w:t>
      </w:r>
    </w:p>
    <w:p>
      <w:pPr>
        <w:pStyle w:val="Heading2"/>
        <w:spacing w:after="160" w:before="360"/>
      </w:pPr>
      <w:r>
        <w:rPr>
          <w:rFonts w:ascii="Calibri" w:cs="Calibri" w:eastAsia="Calibri" w:hAnsi="Calibri"/>
          <w:b/>
          <w:bCs/>
          <w:color w:val="2C5AA0"/>
          <w:sz w:val="26"/>
          <w:szCs w:val="26"/>
        </w:rPr>
        <w:t xml:space="preserve">Oefensituatie 2</w:t>
      </w:r>
    </w:p>
    <w:p>
      <w:pPr>
        <w:spacing w:after="180" w:line="300"/>
        <w:jc w:val="both"/>
      </w:pPr>
      <w:r>
        <w:rPr>
          <w:rFonts w:ascii="Calibri" w:cs="Calibri" w:eastAsia="Calibri" w:hAnsi="Calibri"/>
          <w:color w:val="1A1A1A"/>
          <w:sz w:val="21"/>
          <w:szCs w:val="21"/>
        </w:rPr>
        <w:t xml:space="preserve">Verantis stelt voor het contract te verlengen met een clausule die hun aansprakelijkheid bij storingen aanzienlijk beperkt.</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Verantis een beperking van aansprakelijkheid voorstelt, terwijl Meridiaan onder artikel 34 Pw hoe dan ook volledig verantwoordelijk blijft, kan een dergelijke clausule de facto het risico bij Meridiaan concentreren zonder dat de onderliggende blootstelling afneemt.</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Kernzin 18 (uitbesteden verplaatst het werk, nooit de verantwoordelijkheid); art. 34 Pw.</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‘Verantis stelt een aansprakelijkheidsbeperking voor bij contractverlenging. Ongeacht deze clausule blijft Meridiaan wettelijk volledig verantwoordelijk richting onze klanten en toezichthouder. Ik adviseer de clausule niet te accepteren zonder compenserende maatregelen, zoals een verzwaarde uitwijkvoorziening.’</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‘Bij een lopende contractonderhandeling met een kritieke uitbestedingspartner is een voorgestelde aansprakelijkheidsbeperking beoordeeld vanuit onze onverminderde eigen verantwoordelijkheid onder artikel 34 Pensioenwet. Wij hebben hierover een advies uitgebracht aan het bestuur.’</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erkennen dat Meridiaans eigen verantwoordelijkheid ongewijzigd blijft, ongeacht de contractclausule.</w:t>
      </w:r>
    </w:p>
    <w:p>
      <w:pPr>
        <w:pStyle w:val="Heading2"/>
        <w:spacing w:after="160" w:before="360"/>
      </w:pPr>
      <w:r>
        <w:rPr>
          <w:rFonts w:ascii="Calibri" w:cs="Calibri" w:eastAsia="Calibri" w:hAnsi="Calibri"/>
          <w:b/>
          <w:bCs/>
          <w:color w:val="2C5AA0"/>
          <w:sz w:val="26"/>
          <w:szCs w:val="26"/>
        </w:rPr>
        <w:t xml:space="preserve">Oefensituatie 3</w:t>
      </w:r>
    </w:p>
    <w:p>
      <w:pPr>
        <w:spacing w:after="180" w:line="300"/>
        <w:jc w:val="both"/>
      </w:pPr>
      <w:r>
        <w:rPr>
          <w:rFonts w:ascii="Calibri" w:cs="Calibri" w:eastAsia="Calibri" w:hAnsi="Calibri"/>
          <w:color w:val="1A1A1A"/>
          <w:sz w:val="21"/>
          <w:szCs w:val="21"/>
        </w:rPr>
        <w:t xml:space="preserve">Een deelnemer van een fondsklant dient een klacht in dat zijn ingevaren pensioenaanspraak onjuist is berekend — mogelijk gerelateerd aan het eerder gesignaleerde optimistische projectierendement.</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een individuele klacht mogelijk verband houdt met een eerder gesignaleerd, structureel patroon (optimistisch projectierendement), kan dit een indicatie zijn van een breder, niet individueel probleem in plaats van een geïsoleerd incident.</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Patroonherkenning/gemeenschappelijke-oorzaakanalyse (deel 17, niveau 2) toegepast op een klacht in plaats van op een risicoregister.</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‘Er is een individuele klacht binnengekomen die mogelijk samenhangt met het eerder gemelde patroon in ons projectierendement. Ik adviseer deze klacht niet geïsoleerd te behandelen, maar te toetsen of er een breder patroon achter zit voordat we een individuele reactie geven.’</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‘Een individuele klacht wordt op dit moment onderzocht in samenhang met een eerder intern gesignaleerd patroon rond onze rendementsaannames, om vast te stellen of hier een structureel in plaats van een geïsoleerd vraagstuk speelt.’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leggen de verbinding met het eerdere patroon — geen versie behandelt de klacht als volledig op zichzelf staand.</w:t>
      </w:r>
    </w:p>
    <w:p>
      <w:pPr>
        <w:pStyle w:val="Heading2"/>
        <w:spacing w:after="160" w:before="360"/>
      </w:pPr>
      <w:r>
        <w:rPr>
          <w:rFonts w:ascii="Calibri" w:cs="Calibri" w:eastAsia="Calibri" w:hAnsi="Calibri"/>
          <w:b/>
          <w:bCs/>
          <w:color w:val="2C5AA0"/>
          <w:sz w:val="26"/>
          <w:szCs w:val="26"/>
        </w:rPr>
        <w:t xml:space="preserve">Zelftoets deel 29</w:t>
      </w:r>
    </w:p>
    <w:p>
      <w:pPr>
        <w:pStyle w:val="ListParagraph"/>
        <w:numPr>
          <w:ilvl w:val="0"/>
          <w:numId w:val="2"/>
        </w:numPr>
        <w:spacing w:after="100" w:line="280"/>
      </w:pPr>
      <w:r>
        <w:rPr>
          <w:rFonts w:ascii="Calibri" w:cs="Calibri" w:eastAsia="Calibri" w:hAnsi="Calibri"/>
          <w:color w:val="1A1A1A"/>
          <w:sz w:val="21"/>
          <w:szCs w:val="21"/>
        </w:rPr>
        <w:t xml:space="preserve">1. Wat is het doel van de casuïstiek-marathon?</w:t>
      </w:r>
    </w:p>
    <w:p>
      <w:pPr>
        <w:pStyle w:val="ListParagraph"/>
        <w:numPr>
          <w:ilvl w:val="0"/>
          <w:numId w:val="2"/>
        </w:numPr>
        <w:spacing w:after="100" w:line="280"/>
      </w:pPr>
      <w:r>
        <w:rPr>
          <w:rFonts w:ascii="Calibri" w:cs="Calibri" w:eastAsia="Calibri" w:hAnsi="Calibri"/>
          <w:color w:val="1A1A1A"/>
          <w:sz w:val="21"/>
          <w:szCs w:val="21"/>
        </w:rPr>
        <w:t xml:space="preserve">2. Wat zijn de vijf stappen van de vaste routine?</w:t>
      </w:r>
    </w:p>
    <w:p>
      <w:pPr>
        <w:pStyle w:val="ListParagraph"/>
        <w:numPr>
          <w:ilvl w:val="0"/>
          <w:numId w:val="2"/>
        </w:numPr>
        <w:spacing w:after="100" w:line="280"/>
      </w:pPr>
      <w:r>
        <w:rPr>
          <w:rFonts w:ascii="Calibri" w:cs="Calibri" w:eastAsia="Calibri" w:hAnsi="Calibri"/>
          <w:color w:val="1A1A1A"/>
          <w:sz w:val="21"/>
          <w:szCs w:val="21"/>
        </w:rPr>
        <w:t xml:space="preserve">3. Wat is de kernregel die bij elke registerwisseling geldt?</w:t>
      </w:r>
    </w:p>
    <w:p>
      <w:pPr>
        <w:pStyle w:val="ListParagraph"/>
        <w:numPr>
          <w:ilvl w:val="0"/>
          <w:numId w:val="2"/>
        </w:numPr>
        <w:spacing w:after="100" w:line="280"/>
      </w:pPr>
      <w:r>
        <w:rPr>
          <w:rFonts w:ascii="Calibri" w:cs="Calibri" w:eastAsia="Calibri" w:hAnsi="Calibri"/>
          <w:color w:val="1A1A1A"/>
          <w:sz w:val="21"/>
          <w:szCs w:val="21"/>
        </w:rPr>
        <w:t xml:space="preserve">4. Waarom is situatie 6 (in de reader) een generale repetitie voor de masterproef?</w:t>
      </w:r>
    </w:p>
    <w:p>
      <w:pPr>
        <w:pStyle w:val="ListParagraph"/>
        <w:numPr>
          <w:ilvl w:val="0"/>
          <w:numId w:val="2"/>
        </w:numPr>
        <w:spacing w:after="100" w:line="280"/>
      </w:pPr>
      <w:r>
        <w:rPr>
          <w:rFonts w:ascii="Calibri" w:cs="Calibri" w:eastAsia="Calibri" w:hAnsi="Calibri"/>
          <w:color w:val="1A1A1A"/>
          <w:sz w:val="21"/>
          <w:szCs w:val="21"/>
        </w:rPr>
        <w:t xml:space="preserve">5. Welk soort inconsistentie moet je bij de consistentietoets altijd controleren?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Testen of alle instrumenten en kaders uit de cursus onder tijdsdruk toepasbaar zijn, niet alleen in een rustig geschreven tekst.</w:t>
      </w:r>
    </w:p>
    <w:p>
      <w:pPr>
        <w:spacing w:after="180" w:line="300"/>
        <w:jc w:val="both"/>
      </w:pPr>
      <w:r>
        <w:rPr>
          <w:rFonts w:ascii="Calibri" w:cs="Calibri" w:eastAsia="Calibri" w:hAnsi="Calibri"/>
          <w:color w:val="1A1A1A"/>
          <w:sz w:val="21"/>
          <w:szCs w:val="21"/>
        </w:rPr>
        <w:t xml:space="preserve">2. Kernprobleem in één zin; instrument benoemen; bestuursversie; DNB-versie; consistentietoets.</w:t>
      </w:r>
    </w:p>
    <w:p>
      <w:pPr>
        <w:spacing w:after="180" w:line="300"/>
        <w:jc w:val="both"/>
      </w:pPr>
      <w:r>
        <w:rPr>
          <w:rFonts w:ascii="Calibri" w:cs="Calibri" w:eastAsia="Calibri" w:hAnsi="Calibri"/>
          <w:color w:val="1A1A1A"/>
          <w:sz w:val="21"/>
          <w:szCs w:val="21"/>
        </w:rPr>
        <w:t xml:space="preserve">3. Het register bepaalt de nadruk, nooit de feiten.</w:t>
      </w:r>
    </w:p>
    <w:p>
      <w:pPr>
        <w:spacing w:after="180" w:line="300"/>
        <w:jc w:val="both"/>
      </w:pPr>
      <w:r>
        <w:rPr>
          <w:rFonts w:ascii="Calibri" w:cs="Calibri" w:eastAsia="Calibri" w:hAnsi="Calibri"/>
          <w:color w:val="1A1A1A"/>
          <w:sz w:val="21"/>
          <w:szCs w:val="21"/>
        </w:rPr>
        <w:t xml:space="preserve">4. Omdat het een integraal, gewogen advies vraagt dat meerdere eerdere bevindingen samenbrengt — precies de vorm die de masterproef ook vraagt, maar dan met meer diepgang en onder een boardsimulatie.</w:t>
      </w:r>
    </w:p>
    <w:p>
      <w:pPr>
        <w:spacing w:after="180" w:line="300"/>
        <w:jc w:val="both"/>
      </w:pPr>
      <w:r>
        <w:rPr>
          <w:rFonts w:ascii="Calibri" w:cs="Calibri" w:eastAsia="Calibri" w:hAnsi="Calibri"/>
          <w:color w:val="1A1A1A"/>
          <w:sz w:val="21"/>
          <w:szCs w:val="21"/>
        </w:rPr>
        <w:t xml:space="preserve">5. Of de onderliggende feiten (scores, data, bevindingen) in beide versies identiek zijn — of de ene versie het probleem verzacht of verhult ten opzichte van de andere.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2026-08-17T07:24:35.624Z</dcterms:created>
  <dcterms:modified xsi:type="dcterms:W3CDTF">2026-08-17T07:24:35.626Z</dcterms:modified>
</cp:coreProperties>
</file>

<file path=docProps/custom.xml><?xml version="1.0" encoding="utf-8"?>
<Properties xmlns="http://schemas.openxmlformats.org/officeDocument/2006/custom-properties" xmlns:vt="http://schemas.openxmlformats.org/officeDocument/2006/docPropsVTypes"/>
</file>