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30 — Masterproef</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Docentenhandleiding (twee dagdelen) — Sluitstuk van de hele cursus</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30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is het sluitstuk van dertig delen, drie niveaus, en één doorlopende casus. Behandel het met het gewicht dat dat verdient — dit is niet zomaar een examentraining, het is de plek waar bijna alles wat in deze cursus is opgebouwd, samenkomt in één beslissing.</w:t>
      </w:r>
    </w:p>
    <w:p>
      <w:pPr>
        <w:spacing w:after="180" w:line="300"/>
        <w:jc w:val="both"/>
      </w:pPr>
      <w:r>
        <w:rPr>
          <w:rFonts w:ascii="Calibri" w:cs="Calibri" w:eastAsia="Calibri" w:hAnsi="Calibri"/>
          <w:color w:val="1A1A1A"/>
          <w:sz w:val="21"/>
          <w:szCs w:val="21"/>
        </w:rPr>
        <w:t xml:space="preserve">Twee dingen verdienen bijzondere zorg. Ten eerste: het scenario is emotioneel zwaar (een organisatie die onder druk een wettelijke deadline wil halen ten koste van zorgvuldigheid) — begeleid dit met professionaliteit, niet met melodrama. Ten tweede: de rubric beloont een onderbouwd ‘nee’ net zo zwaar als een onderbouwd ‘ja’ — bewaak dat rolspelers en beoordelaars dit niet verwarren met ‘uitstel is altijd het juiste antwoord’. Beide uitkomsten kunnen slagen, mits goed onderbouwd; beide kunnen zakken, als ze door druk zijn ingegeven in plaats van door analyse.</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een compleet, kwantitatief onderbouwd schriftelijk advies opstellen dat meerdere eerdere bevindingen in samenhang weegt</w:t>
      </w:r>
    </w:p>
    <w:p>
      <w:pPr>
        <w:pStyle w:val="ListParagraph"/>
        <w:numPr>
          <w:ilvl w:val="0"/>
          <w:numId w:val="2"/>
        </w:numPr>
        <w:spacing w:after="100" w:line="280"/>
      </w:pPr>
      <w:r>
        <w:rPr>
          <w:rFonts w:ascii="Calibri" w:cs="Calibri" w:eastAsia="Calibri" w:hAnsi="Calibri"/>
          <w:color w:val="1A1A1A"/>
          <w:sz w:val="21"/>
          <w:szCs w:val="21"/>
        </w:rPr>
        <w:t xml:space="preserve">een boardsimulatie doorstaan met vier verschillende rolperspectieven, inclusief onvoorziene bevraging</w:t>
      </w:r>
    </w:p>
    <w:p>
      <w:pPr>
        <w:pStyle w:val="ListParagraph"/>
        <w:numPr>
          <w:ilvl w:val="0"/>
          <w:numId w:val="2"/>
        </w:numPr>
        <w:spacing w:after="100" w:line="280"/>
      </w:pPr>
      <w:r>
        <w:rPr>
          <w:rFonts w:ascii="Calibri" w:cs="Calibri" w:eastAsia="Calibri" w:hAnsi="Calibri"/>
          <w:color w:val="1A1A1A"/>
          <w:sz w:val="21"/>
          <w:szCs w:val="21"/>
        </w:rPr>
        <w:t xml:space="preserve">het escalatierecht correct positioneren binnen de driestappenroutine uit deel 28</w:t>
      </w:r>
    </w:p>
    <w:p>
      <w:pPr>
        <w:pStyle w:val="ListParagraph"/>
        <w:numPr>
          <w:ilvl w:val="0"/>
          <w:numId w:val="2"/>
        </w:numPr>
        <w:spacing w:after="100" w:line="280"/>
      </w:pPr>
      <w:r>
        <w:rPr>
          <w:rFonts w:ascii="Calibri" w:cs="Calibri" w:eastAsia="Calibri" w:hAnsi="Calibri"/>
          <w:color w:val="1A1A1A"/>
          <w:sz w:val="21"/>
          <w:szCs w:val="21"/>
        </w:rPr>
        <w:t xml:space="preserve">onder druk een onderbouwd ‘nee, dit niet’ volhouden wanneer de analyse dat vereist, zonder toe te geven aan organisatorische druk</w:t>
      </w:r>
    </w:p>
    <w:p>
      <w:pPr>
        <w:pStyle w:val="ListParagraph"/>
        <w:numPr>
          <w:ilvl w:val="0"/>
          <w:numId w:val="2"/>
        </w:numPr>
        <w:spacing w:after="100" w:line="280"/>
      </w:pPr>
      <w:r>
        <w:rPr>
          <w:rFonts w:ascii="Calibri" w:cs="Calibri" w:eastAsia="Calibri" w:hAnsi="Calibri"/>
          <w:color w:val="1A1A1A"/>
          <w:sz w:val="21"/>
          <w:szCs w:val="21"/>
        </w:rPr>
        <w:t xml:space="preserve">de samenhang tussen de dertig delen van de cursus expliciet maken in een slotreflectie</w:t>
      </w:r>
    </w:p>
    <w:p>
      <w:pPr>
        <w:pStyle w:val="Heading2"/>
        <w:spacing w:after="160" w:before="360"/>
      </w:pPr>
      <w:r>
        <w:rPr>
          <w:rFonts w:ascii="Calibri" w:cs="Calibri" w:eastAsia="Calibri" w:hAnsi="Calibri"/>
          <w:b/>
          <w:bCs/>
          <w:color w:val="2C5AA0"/>
          <w:sz w:val="26"/>
          <w:szCs w:val="26"/>
        </w:rPr>
        <w:t xml:space="preserve">Tijdsindeling (twee dagdelen, elk circa 3 uur 30)</w:t>
      </w:r>
    </w:p>
    <w:p>
      <w:pPr>
        <w:pStyle w:val="Heading3"/>
        <w:spacing w:after="120" w:before="280"/>
      </w:pPr>
      <w:r>
        <w:rPr>
          <w:rFonts w:ascii="Calibri" w:cs="Calibri" w:eastAsia="Calibri" w:hAnsi="Calibri"/>
          <w:b/>
          <w:bCs/>
          <w:color w:val="1B2A4A"/>
          <w:sz w:val="22"/>
          <w:szCs w:val="22"/>
        </w:rPr>
        <w:t xml:space="preserve">Dagdeel A — het schriftelijke advies</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5142"/>
        <w:gridCol w:w="2524"/>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5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27%"/>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0:00–0:25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Het scenario, zomer 2027</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volledige aandacht — dit zet de toon voor de rest</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0:25–0:50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 zeven onderdelen van het advies, uitgelegd</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Uitleg + voorbeeldstructuur</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0:50–1:05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1:05–3:00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Schrijftijd, individueel of in kleine teams (twee à drie)</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Werktijd, docent loopt rond voor korte, gerichte vragen</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3:00–3:20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3:20–3:30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Korte peer-check: wissel het advies met een ander duo/individu voor een snelle checklist-toets</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Peer review</w:t>
            </w:r>
          </w:p>
        </w:tc>
      </w:tr>
    </w:tbl>
    <w:p>
      <w:pPr>
        <w:spacing w:after="180" w:line="300"/>
        <w:jc w:val="both"/>
      </w:pPr>
      <w:r>
        <w:rPr>
          <w:rFonts w:ascii="Calibri" w:cs="Calibri" w:eastAsia="Calibri" w:hAnsi="Calibri"/>
          <w:color w:val="1A1A1A"/>
          <w:sz w:val="21"/>
          <w:szCs w:val="21"/>
        </w:rPr>
        <w:t xml:space="preserve">Tussen dagdeel A en B: geef deelnemers de gelegenheid het advies, op basis van de peer-check, nog kort bij te schaven — bijvoorbeeld als huiswerk of in een korte ochtendsessie voorafgaand aan dagdeel B.</w:t>
      </w:r>
    </w:p>
    <w:p>
      <w:pPr>
        <w:pStyle w:val="Heading3"/>
        <w:spacing w:after="120" w:before="280"/>
      </w:pPr>
      <w:r>
        <w:rPr>
          <w:rFonts w:ascii="Calibri" w:cs="Calibri" w:eastAsia="Calibri" w:hAnsi="Calibri"/>
          <w:b/>
          <w:bCs/>
          <w:color w:val="1B2A4A"/>
          <w:sz w:val="22"/>
          <w:szCs w:val="22"/>
        </w:rPr>
        <w:t xml:space="preserve">Dagdeel B — de boardsimulatie</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5142"/>
        <w:gridCol w:w="2524"/>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5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27%"/>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Terugblik, opzet van de boardsimulatie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Uitleg</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0:15–0:35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Rolinstructies uitdelen, rolspelers bereiden zich voor</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Rolspelers lezen instructies, presentatoren lezen de vier vooraf-gedeelde vragen per rol</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0:35–2:35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Boardsimulaties (45 minuten per presentator/team, inclusief korte nabespreking)</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Circa 2-3 simulaties, afhankelijk van groepsgrootte</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2:35–2:50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2:50–3:10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Slotreflectie, individueel schriftelijk</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Individueel, gedeeld materiaal welkom maar niet verplicht</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3:10–3:30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Plenaire afsluiting van de hele cursus</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Gezamenlijk, docent leidt</w:t>
            </w:r>
          </w:p>
        </w:tc>
      </w:tr>
    </w:tbl>
    <w:p>
      <w:pPr>
        <w:spacing w:after="180" w:line="300"/>
        <w:jc w:val="both"/>
      </w:pPr>
      <w:r>
        <w:rPr>
          <w:rFonts w:ascii="Calibri" w:cs="Calibri" w:eastAsia="Calibri" w:hAnsi="Calibri"/>
          <w:color w:val="1A1A1A"/>
          <w:sz w:val="21"/>
          <w:szCs w:val="21"/>
        </w:rPr>
        <w:t xml:space="preserve">Bij grotere groepen: overweeg de boardsimulaties over twee sessies te verdelen, of laat groepen in parallelle ‘boardkamers’ werken met verschillende rolspelersets, gevolgd door een gedeelde plenaire nabespreking.</w:t>
      </w:r>
    </w:p>
    <w:p>
      <w:pPr>
        <w:pStyle w:val="Heading2"/>
        <w:spacing w:after="160" w:before="360"/>
      </w:pPr>
      <w:r>
        <w:rPr>
          <w:rFonts w:ascii="Calibri" w:cs="Calibri" w:eastAsia="Calibri" w:hAnsi="Calibri"/>
          <w:b/>
          <w:bCs/>
          <w:color w:val="2C5AA0"/>
          <w:sz w:val="26"/>
          <w:szCs w:val="26"/>
        </w:rPr>
        <w:t xml:space="preserve">Rolverdeling en instructies voor de boardsimulatie</w:t>
      </w:r>
    </w:p>
    <w:p>
      <w:pPr>
        <w:spacing w:after="180" w:line="300"/>
        <w:jc w:val="both"/>
      </w:pPr>
      <w:r>
        <w:rPr>
          <w:rFonts w:ascii="Calibri" w:cs="Calibri" w:eastAsia="Calibri" w:hAnsi="Calibri"/>
          <w:b/>
          <w:bCs/>
          <w:color w:val="1B2A4A"/>
          <w:sz w:val="21"/>
          <w:szCs w:val="21"/>
        </w:rPr>
        <w:t xml:space="preserve">De bestuursvoorzitter.</w:t>
      </w:r>
      <w:r>
        <w:rPr>
          <w:rFonts w:ascii="Calibri" w:cs="Calibri" w:eastAsia="Calibri" w:hAnsi="Calibri"/>
          <w:color w:val="1A1A1A"/>
          <w:sz w:val="21"/>
          <w:szCs w:val="21"/>
        </w:rPr>
        <w:t xml:space="preserve"> Onder reputatie- en tijdsdruk. Vooraf gedeelde vraag: ‘wat kost uitstel ons, concreet, in euro's en in reputatie?’ Instructie: wees kritisch maar niet vijandig — een goede bestuursvoorzitter wil overtuigd worden, maar niet zomaar toegeven. Stel de onvoorziene vraag pas als het gesprek al enige tijd loopt, niet als openingsvraag.</w:t>
      </w:r>
    </w:p>
    <w:p>
      <w:pPr>
        <w:spacing w:after="180" w:line="300"/>
        <w:jc w:val="both"/>
      </w:pPr>
      <w:r>
        <w:rPr>
          <w:rFonts w:ascii="Calibri" w:cs="Calibri" w:eastAsia="Calibri" w:hAnsi="Calibri"/>
          <w:b/>
          <w:bCs/>
          <w:color w:val="1B2A4A"/>
          <w:sz w:val="21"/>
          <w:szCs w:val="21"/>
        </w:rPr>
        <w:t xml:space="preserve">DNB.</w:t>
      </w:r>
      <w:r>
        <w:rPr>
          <w:rFonts w:ascii="Calibri" w:cs="Calibri" w:eastAsia="Calibri" w:hAnsi="Calibri"/>
          <w:color w:val="1A1A1A"/>
          <w:sz w:val="21"/>
          <w:szCs w:val="21"/>
        </w:rPr>
        <w:t xml:space="preserve"> Formeel, precies, gericht op proces en adequaatheid. Vooraf gedeelde vraag over artikel 46b Besluit uitvoering Pw. Instructie: deze rol mag het meest confronterend zijn van de vier — een echte toezichthouder stelt ongemakkelijke vragen zonder emotie.</w:t>
      </w:r>
    </w:p>
    <w:p>
      <w:pPr>
        <w:spacing w:after="180" w:line="300"/>
        <w:jc w:val="both"/>
      </w:pPr>
      <w:r>
        <w:rPr>
          <w:rFonts w:ascii="Calibri" w:cs="Calibri" w:eastAsia="Calibri" w:hAnsi="Calibri"/>
          <w:b/>
          <w:bCs/>
          <w:color w:val="1B2A4A"/>
          <w:sz w:val="21"/>
          <w:szCs w:val="21"/>
        </w:rPr>
        <w:t xml:space="preserve">De sleutelfunctiehouder interne audit.</w:t>
      </w:r>
      <w:r>
        <w:rPr>
          <w:rFonts w:ascii="Calibri" w:cs="Calibri" w:eastAsia="Calibri" w:hAnsi="Calibri"/>
          <w:color w:val="1A1A1A"/>
          <w:sz w:val="21"/>
          <w:szCs w:val="21"/>
        </w:rPr>
        <w:t xml:space="preserve"> Collegiaal maar kritisch — een andere sleutelfunctiehouder, geen tegenstander. Vooraf gedeelde vraag over de volledigheid van het document. Instructie: focus op structuur en navolgbaarheid, niet op de inhoudelijke keuze zelf (dat is niet haar rol).</w:t>
      </w:r>
    </w:p>
    <w:p>
      <w:pPr>
        <w:spacing w:after="180" w:line="300"/>
        <w:jc w:val="both"/>
      </w:pPr>
      <w:r>
        <w:rPr>
          <w:rFonts w:ascii="Calibri" w:cs="Calibri" w:eastAsia="Calibri" w:hAnsi="Calibri"/>
          <w:b/>
          <w:bCs/>
          <w:color w:val="1B2A4A"/>
          <w:sz w:val="21"/>
          <w:szCs w:val="21"/>
        </w:rPr>
        <w:t xml:space="preserve">De programmadirecteur.</w:t>
      </w:r>
      <w:r>
        <w:rPr>
          <w:rFonts w:ascii="Calibri" w:cs="Calibri" w:eastAsia="Calibri" w:hAnsi="Calibri"/>
          <w:color w:val="1A1A1A"/>
          <w:sz w:val="21"/>
          <w:szCs w:val="21"/>
        </w:rPr>
        <w:t xml:space="preserve"> Heeft het meest te verliezen bij uitstel, en kan de neiging hebben het risico te relativeren. Vooraf gedeelde vraag over haalbaarheid van voorwaarden. Instructie: de onvoorziene vraag (‘is dit niet gewoon een normale tegenslag’) moet natuurlijk klinken, niet als test — dit is precies het soort relativering die in de praktijk vaak voorkomt.</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Het scenario te snel, te licht introduceren. De 25 minuten die voor de introductie zijn ingeruimd, zijn bewust ruim — dit moment zet de toon voor de rest van de twee dagdelen. Haast hier niet doorheen.</w:t>
      </w:r>
    </w:p>
    <w:p>
      <w:pPr>
        <w:pStyle w:val="ListParagraph"/>
        <w:numPr>
          <w:ilvl w:val="0"/>
          <w:numId w:val="2"/>
        </w:numPr>
        <w:spacing w:after="100" w:line="280"/>
      </w:pPr>
      <w:r>
        <w:rPr>
          <w:rFonts w:ascii="Calibri" w:cs="Calibri" w:eastAsia="Calibri" w:hAnsi="Calibri"/>
          <w:color w:val="1A1A1A"/>
          <w:sz w:val="21"/>
          <w:szCs w:val="21"/>
        </w:rPr>
        <w:t xml:space="preserve">Rolspelers die te makkelijk overtuigd raken. Instrueer expliciet: de rollen moeten oprecht kritisch zijn, ook als het advies goed is. Het punt van de simulatie is niet dat het advies ‘wint’, maar dat het advies bestand is tegen serieuze tegendruk.</w:t>
      </w:r>
    </w:p>
    <w:p>
      <w:pPr>
        <w:pStyle w:val="ListParagraph"/>
        <w:numPr>
          <w:ilvl w:val="0"/>
          <w:numId w:val="2"/>
        </w:numPr>
        <w:spacing w:after="100" w:line="280"/>
      </w:pPr>
      <w:r>
        <w:rPr>
          <w:rFonts w:ascii="Calibri" w:cs="Calibri" w:eastAsia="Calibri" w:hAnsi="Calibri"/>
          <w:color w:val="1A1A1A"/>
          <w:sz w:val="21"/>
          <w:szCs w:val="21"/>
        </w:rPr>
        <w:t xml:space="preserve">De rubric laten voelen als ‘uitstel is het goede antwoord’. Herhaal expliciet, ook tijdens de nabespreking van elke simulatie: een goed onderbouwd doorgaan-advies is even sterk als een goed onderbouwd uitstel-advies. Wat telt is de kwaliteit van de onderbouwing, niet de uitkomst.</w:t>
      </w:r>
    </w:p>
    <w:p>
      <w:pPr>
        <w:pStyle w:val="ListParagraph"/>
        <w:numPr>
          <w:ilvl w:val="0"/>
          <w:numId w:val="2"/>
        </w:numPr>
        <w:spacing w:after="100" w:line="280"/>
      </w:pPr>
      <w:r>
        <w:rPr>
          <w:rFonts w:ascii="Calibri" w:cs="Calibri" w:eastAsia="Calibri" w:hAnsi="Calibri"/>
          <w:color w:val="1A1A1A"/>
          <w:sz w:val="21"/>
          <w:szCs w:val="21"/>
        </w:rPr>
        <w:t xml:space="preserve">De slotreflectie overslaan bij tijdsdruk. Dit is het emotionele en inhoudelijke sluitstuk van de hele cursus — bewaar hier tijd voor, ook als de simulaties zijn uitgelopen.</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color w:val="1A1A1A"/>
          <w:sz w:val="21"/>
          <w:szCs w:val="21"/>
        </w:rPr>
        <w:t xml:space="preserve">Groepen die de hele cursus (niveau 1-3) hebben gevolgd zullen de kruisverwijzingen in onderdeel 2 van het advies het rijkst kunnen invullen. Moedig hen aan zoveel mogelijk eerdere delen expliciet te benoemen.</w:t>
      </w:r>
    </w:p>
    <w:p>
      <w:pPr>
        <w:spacing w:after="180" w:line="300"/>
        <w:jc w:val="both"/>
      </w:pPr>
      <w:r>
        <w:rPr>
          <w:rFonts w:ascii="Calibri" w:cs="Calibri" w:eastAsia="Calibri" w:hAnsi="Calibri"/>
          <w:color w:val="1A1A1A"/>
          <w:sz w:val="21"/>
          <w:szCs w:val="21"/>
        </w:rPr>
        <w:t xml:space="preserve">Zij-instromers die alleen niveau 3 volgen kunnen minder diep putten uit de vroegere delen. Bied hen, indien mogelijk, een korte samenvatting van de belangrijkste eerdere kernzinnen en bevindingen (deel 1 t/m 29) als extra referentiemateriaal.</w:t>
      </w:r>
    </w:p>
    <w:p>
      <w:pPr>
        <w:spacing w:after="180" w:line="300"/>
        <w:jc w:val="both"/>
      </w:pPr>
      <w:r>
        <w:rPr>
          <w:rFonts w:ascii="Calibri" w:cs="Calibri" w:eastAsia="Calibri" w:hAnsi="Calibri"/>
          <w:color w:val="1A1A1A"/>
          <w:sz w:val="21"/>
          <w:szCs w:val="21"/>
        </w:rPr>
        <w:t xml:space="preserve">Deelnemers die zelf in een sleutelfunctie- of vergelijkbare rol werken kunnen de emotionele lading van het scenario het scherpst herkennen. Geef hen ruimte om, in de nabespreking, eigen ervaringen te delen, met respect voor eventuele gevoeligheid.</w:t>
      </w:r>
    </w:p>
    <w:p>
      <w:pPr>
        <w:pStyle w:val="Heading2"/>
        <w:spacing w:after="160" w:before="360"/>
      </w:pPr>
      <w:r>
        <w:rPr>
          <w:rFonts w:ascii="Calibri" w:cs="Calibri" w:eastAsia="Calibri" w:hAnsi="Calibri"/>
          <w:b/>
          <w:bCs/>
          <w:color w:val="2C5AA0"/>
          <w:sz w:val="26"/>
          <w:szCs w:val="26"/>
        </w:rPr>
        <w:t xml:space="preserve">Discussievragen (voor de plenaire afsluiting)</w:t>
      </w:r>
    </w:p>
    <w:p>
      <w:pPr>
        <w:pStyle w:val="ListParagraph"/>
        <w:numPr>
          <w:ilvl w:val="0"/>
          <w:numId w:val="2"/>
        </w:numPr>
        <w:spacing w:after="100" w:line="280"/>
      </w:pPr>
      <w:r>
        <w:rPr>
          <w:rFonts w:ascii="Calibri" w:cs="Calibri" w:eastAsia="Calibri" w:hAnsi="Calibri"/>
          <w:color w:val="1A1A1A"/>
          <w:sz w:val="21"/>
          <w:szCs w:val="21"/>
        </w:rPr>
        <w:t xml:space="preserve">Welk instrument uit welk deel bleek voor jou persoonlijk het meest onmisbaar in dit advies?</w:t>
      </w:r>
    </w:p>
    <w:p>
      <w:pPr>
        <w:pStyle w:val="ListParagraph"/>
        <w:numPr>
          <w:ilvl w:val="0"/>
          <w:numId w:val="2"/>
        </w:numPr>
        <w:spacing w:after="100" w:line="280"/>
      </w:pPr>
      <w:r>
        <w:rPr>
          <w:rFonts w:ascii="Calibri" w:cs="Calibri" w:eastAsia="Calibri" w:hAnsi="Calibri"/>
          <w:color w:val="1A1A1A"/>
          <w:sz w:val="21"/>
          <w:szCs w:val="21"/>
        </w:rPr>
        <w:t xml:space="preserve">Als je aan het begin van deze cursus (deel 1, het lege risicoregister) had geweten waar je nu, in deel 30, zou uitkomen — wat zou je toen anders hebben aangepakt?</w:t>
      </w:r>
    </w:p>
    <w:p>
      <w:pPr>
        <w:pStyle w:val="ListParagraph"/>
        <w:numPr>
          <w:ilvl w:val="0"/>
          <w:numId w:val="2"/>
        </w:numPr>
        <w:spacing w:after="100" w:line="280"/>
      </w:pPr>
      <w:r>
        <w:rPr>
          <w:rFonts w:ascii="Calibri" w:cs="Calibri" w:eastAsia="Calibri" w:hAnsi="Calibri"/>
          <w:color w:val="1A1A1A"/>
          <w:sz w:val="21"/>
          <w:szCs w:val="21"/>
        </w:rPr>
        <w:t xml:space="preserve">Wat neem je, praktisch, mee naar je eigen organisatie na deze cursus?</w:t>
      </w:r>
    </w:p>
    <w:p>
      <w:pPr>
        <w:pStyle w:val="Heading2"/>
        <w:spacing w:after="160" w:before="360"/>
      </w:pPr>
      <w:r>
        <w:rPr>
          <w:rFonts w:ascii="Calibri" w:cs="Calibri" w:eastAsia="Calibri" w:hAnsi="Calibri"/>
          <w:b/>
          <w:bCs/>
          <w:color w:val="2C5AA0"/>
          <w:sz w:val="26"/>
          <w:szCs w:val="26"/>
        </w:rPr>
        <w:t xml:space="preserve">Antwoordmodel voor de moeilijkste bespreking (de rubric en het ‘nee, dit niet’-criterium)</w:t>
      </w:r>
    </w:p>
    <w:p>
      <w:pPr>
        <w:spacing w:after="180" w:line="300"/>
        <w:jc w:val="both"/>
      </w:pPr>
      <w:r>
        <w:rPr>
          <w:rFonts w:ascii="Calibri" w:cs="Calibri" w:eastAsia="Calibri" w:hAnsi="Calibri"/>
          <w:color w:val="1A1A1A"/>
          <w:sz w:val="21"/>
          <w:szCs w:val="21"/>
        </w:rPr>
        <w:t xml:space="preserve">Docenten die deze cursus voor het eerst begeleiden, vragen soms: ‘hoe beoordeel ik objectief of een ‘ja, doorgaan’-advies net zo goed is als een ‘nee, uitstellen’-advies?’ Het antwoord ligt niet in de uitkomst maar in drie controleerbare kenmerken van de onderbouwing: (1) worden beide opties in onderdeel 4 van het advies met evenveel zorg uitgewerkt, of is er zichtbaar meer moeite gestoken in de optie die het bestuur toch al wilde horen; (2) verandert de aanbeveling wanneer je, als beoordelaar, de bestuursvoorzitter-rol extra druk laat uitoefenen tijdens de simulatie — een advies dat onder druk verschuift zonder nieuwe informatie, was nooit stevig onderbouwd; (3) is de paragraaf over het escalatierecht (onderdeel 7) net zo scherp geschreven bij een doorgaan-advies als bij een uitstel-advies, of wordt die paragraaf bij ‘doorgaan’ afgezwakt tot een formaliteit? Deze drie controles zijn objectiever toe te passen dan een directe beoordeling van ‘is dit het juiste besluit’ — en dat is precies het punt: deze cursus beoordeelt de kwaliteit van het redeneerproces, niet de uitkomst ervan.</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Rolkaarten voor de vier boardsimulatie-rollen, met de vooraf gedeelde vragen zichtbaar en de onvoorziene vragen apart, alleen voor de rolspeler.</w:t>
      </w:r>
    </w:p>
    <w:p>
      <w:pPr>
        <w:pStyle w:val="ListParagraph"/>
        <w:numPr>
          <w:ilvl w:val="0"/>
          <w:numId w:val="2"/>
        </w:numPr>
        <w:spacing w:after="100" w:line="280"/>
      </w:pPr>
      <w:r>
        <w:rPr>
          <w:rFonts w:ascii="Calibri" w:cs="Calibri" w:eastAsia="Calibri" w:hAnsi="Calibri"/>
          <w:color w:val="1A1A1A"/>
          <w:sz w:val="21"/>
          <w:szCs w:val="21"/>
        </w:rPr>
        <w:t xml:space="preserve">De voorbereidingschecklist en de acht oefenvragen uit het werkboek, uitgedeeld vóór dagdeel A.</w:t>
      </w:r>
    </w:p>
    <w:p>
      <w:pPr>
        <w:pStyle w:val="ListParagraph"/>
        <w:numPr>
          <w:ilvl w:val="0"/>
          <w:numId w:val="2"/>
        </w:numPr>
        <w:spacing w:after="100" w:line="280"/>
      </w:pPr>
      <w:r>
        <w:rPr>
          <w:rFonts w:ascii="Calibri" w:cs="Calibri" w:eastAsia="Calibri" w:hAnsi="Calibri"/>
          <w:color w:val="1A1A1A"/>
          <w:sz w:val="21"/>
          <w:szCs w:val="21"/>
        </w:rPr>
        <w:t xml:space="preserve">De rubric (paragraaf 30.3 van de reader) als scoreformulier.</w:t>
      </w:r>
    </w:p>
    <w:p>
      <w:pPr>
        <w:pStyle w:val="ListParagraph"/>
        <w:numPr>
          <w:ilvl w:val="0"/>
          <w:numId w:val="2"/>
        </w:numPr>
        <w:spacing w:after="100" w:line="280"/>
      </w:pPr>
      <w:r>
        <w:rPr>
          <w:rFonts w:ascii="Calibri" w:cs="Calibri" w:eastAsia="Calibri" w:hAnsi="Calibri"/>
          <w:color w:val="1A1A1A"/>
          <w:sz w:val="21"/>
          <w:szCs w:val="21"/>
        </w:rPr>
        <w:t xml:space="preserve">Voldoende tijd en rust voor de slotreflectie — geen extra materiaal nodig, wel ruimte.</w:t>
      </w:r>
    </w:p>
    <w:p>
      <w:pPr>
        <w:pStyle w:val="Heading2"/>
        <w:spacing w:after="160" w:before="360"/>
      </w:pPr>
      <w:r>
        <w:rPr>
          <w:rFonts w:ascii="Calibri" w:cs="Calibri" w:eastAsia="Calibri" w:hAnsi="Calibri"/>
          <w:b/>
          <w:bCs/>
          <w:color w:val="2C5AA0"/>
          <w:sz w:val="26"/>
          <w:szCs w:val="26"/>
        </w:rPr>
        <w:t xml:space="preserve">Na dit deel: de hele cursus is afgerond</w:t>
      </w:r>
    </w:p>
    <w:p>
      <w:pPr>
        <w:spacing w:after="180" w:line="300"/>
        <w:jc w:val="both"/>
      </w:pPr>
      <w:r>
        <w:rPr>
          <w:rFonts w:ascii="Calibri" w:cs="Calibri" w:eastAsia="Calibri" w:hAnsi="Calibri"/>
          <w:color w:val="1A1A1A"/>
          <w:sz w:val="21"/>
          <w:szCs w:val="21"/>
        </w:rPr>
        <w:t xml:space="preserve">Er is geen aansluiting op een volgend deel. Sluit dit deel, en daarmee de hele dertig-delen-cursus, af met de vraag waarmee de reader eindigt: heeft dit instrumentarium vandaag een besluit veranderd, of was het een nette exercitie die op zichzelf stond? Laat deze vraag bewust nazinderen — het is de kernboodschap van de hele cursus, van deel 1 tot hier.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2026-08-17T07:29:12.289Z</dcterms:created>
  <dcterms:modified xsi:type="dcterms:W3CDTF">2026-08-17T07:29:12.290Z</dcterms:modified>
</cp:coreProperties>
</file>

<file path=docProps/custom.xml><?xml version="1.0" encoding="utf-8"?>
<Properties xmlns="http://schemas.openxmlformats.org/officeDocument/2006/custom-properties" xmlns:vt="http://schemas.openxmlformats.org/officeDocument/2006/docPropsVTypes"/>
</file>