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30 — Masterproef</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Werkboek (twee dagdelen)</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30 — Werkboek</w:t>
      </w:r>
    </w:p>
    <w:p>
      <w:pPr>
        <w:pStyle w:val="Heading2"/>
        <w:spacing w:after="160" w:before="360"/>
      </w:pPr>
      <w:r>
        <w:rPr>
          <w:rFonts w:ascii="Calibri" w:cs="Calibri" w:eastAsia="Calibri" w:hAnsi="Calibri"/>
          <w:b/>
          <w:bCs/>
          <w:color w:val="2C5AA0"/>
          <w:sz w:val="26"/>
          <w:szCs w:val="26"/>
        </w:rPr>
        <w:t xml:space="preserve">Voorbereidingschecklist voor het schriftelijke advies (dagdeel A)</w:t>
      </w:r>
    </w:p>
    <w:p>
      <w:pPr>
        <w:pStyle w:val="ListParagraph"/>
        <w:numPr>
          <w:ilvl w:val="0"/>
          <w:numId w:val="2"/>
        </w:numPr>
        <w:spacing w:after="100" w:line="280"/>
      </w:pPr>
      <w:r>
        <w:rPr>
          <w:rFonts w:ascii="Calibri" w:cs="Calibri" w:eastAsia="Calibri" w:hAnsi="Calibri"/>
          <w:color w:val="1A1A1A"/>
          <w:sz w:val="21"/>
          <w:szCs w:val="21"/>
        </w:rPr>
        <w:t xml:space="preserve">Feitenrelaas Verantis-incident: tijdlijn, actuele status, geraakte werkgeversklanten</w:t>
      </w:r>
    </w:p>
    <w:p>
      <w:pPr>
        <w:pStyle w:val="ListParagraph"/>
        <w:numPr>
          <w:ilvl w:val="0"/>
          <w:numId w:val="2"/>
        </w:numPr>
        <w:spacing w:after="100" w:line="280"/>
      </w:pPr>
      <w:r>
        <w:rPr>
          <w:rFonts w:ascii="Calibri" w:cs="Calibri" w:eastAsia="Calibri" w:hAnsi="Calibri"/>
          <w:color w:val="1A1A1A"/>
          <w:sz w:val="21"/>
          <w:szCs w:val="21"/>
        </w:rPr>
        <w:t xml:space="preserve">Kruisverwijzingen expliciet benoemd: BCM-hiaat (deel 25), omgekeerde stresstest (deel 27), informeel signaal (deel 29, situatie 1), projectierendement (deel 26), concentratierisico (deel 25/29)</w:t>
      </w:r>
    </w:p>
    <w:p>
      <w:pPr>
        <w:pStyle w:val="ListParagraph"/>
        <w:numPr>
          <w:ilvl w:val="0"/>
          <w:numId w:val="2"/>
        </w:numPr>
        <w:spacing w:after="100" w:line="280"/>
      </w:pPr>
      <w:r>
        <w:rPr>
          <w:rFonts w:ascii="Calibri" w:cs="Calibri" w:eastAsia="Calibri" w:hAnsi="Calibri"/>
          <w:color w:val="1A1A1A"/>
          <w:sz w:val="21"/>
          <w:szCs w:val="21"/>
        </w:rPr>
        <w:t xml:space="preserve">Kwantitatieve risicobeoordeling: kans op fouten in de invaarberekening door onvolledige/vertraagde data, geschat gevolg (EMV-achtige redenering, deel 14)</w:t>
      </w:r>
    </w:p>
    <w:p>
      <w:pPr>
        <w:pStyle w:val="ListParagraph"/>
        <w:numPr>
          <w:ilvl w:val="0"/>
          <w:numId w:val="2"/>
        </w:numPr>
        <w:spacing w:after="100" w:line="280"/>
      </w:pPr>
      <w:r>
        <w:rPr>
          <w:rFonts w:ascii="Calibri" w:cs="Calibri" w:eastAsia="Calibri" w:hAnsi="Calibri"/>
          <w:color w:val="1A1A1A"/>
          <w:sz w:val="21"/>
          <w:szCs w:val="21"/>
        </w:rPr>
        <w:t xml:space="preserve">Twee opties volledig uitgewerkt: doorgaan-met-voorwaarden en gemotiveerd uitstel, elk met kosten, baten, residueel risico</w:t>
      </w:r>
    </w:p>
    <w:p>
      <w:pPr>
        <w:pStyle w:val="ListParagraph"/>
        <w:numPr>
          <w:ilvl w:val="0"/>
          <w:numId w:val="2"/>
        </w:numPr>
        <w:spacing w:after="100" w:line="280"/>
      </w:pPr>
      <w:r>
        <w:rPr>
          <w:rFonts w:ascii="Calibri" w:cs="Calibri" w:eastAsia="Calibri" w:hAnsi="Calibri"/>
          <w:color w:val="1A1A1A"/>
          <w:sz w:val="21"/>
          <w:szCs w:val="21"/>
        </w:rPr>
        <w:t xml:space="preserve">Een heldere aanbeveling, bereid tot een onderbouwd ‘nee’ indien de analyse dat vereist</w:t>
      </w:r>
    </w:p>
    <w:p>
      <w:pPr>
        <w:pStyle w:val="ListParagraph"/>
        <w:numPr>
          <w:ilvl w:val="0"/>
          <w:numId w:val="2"/>
        </w:numPr>
        <w:spacing w:after="100" w:line="280"/>
      </w:pPr>
      <w:r>
        <w:rPr>
          <w:rFonts w:ascii="Calibri" w:cs="Calibri" w:eastAsia="Calibri" w:hAnsi="Calibri"/>
          <w:color w:val="1A1A1A"/>
          <w:sz w:val="21"/>
          <w:szCs w:val="21"/>
        </w:rPr>
        <w:t xml:space="preserve">Concrete, gedateerde voorwaarden bij een doorgaan-advies</w:t>
      </w:r>
    </w:p>
    <w:p>
      <w:pPr>
        <w:pStyle w:val="ListParagraph"/>
        <w:numPr>
          <w:ilvl w:val="0"/>
          <w:numId w:val="2"/>
        </w:numPr>
        <w:spacing w:after="100" w:line="280"/>
      </w:pPr>
      <w:r>
        <w:rPr>
          <w:rFonts w:ascii="Calibri" w:cs="Calibri" w:eastAsia="Calibri" w:hAnsi="Calibri"/>
          <w:color w:val="1A1A1A"/>
          <w:sz w:val="21"/>
          <w:szCs w:val="21"/>
        </w:rPr>
        <w:t xml:space="preserve">Expliciete paragraaf over het escalatierecht, getoetst aan de drie voorwaarden uit deel 28 (materialiteit, uitputting, documenteerbaarheid)</w:t>
      </w:r>
    </w:p>
    <w:p>
      <w:pPr>
        <w:pStyle w:val="ListParagraph"/>
        <w:numPr>
          <w:ilvl w:val="0"/>
          <w:numId w:val="2"/>
        </w:numPr>
        <w:spacing w:after="100" w:line="280"/>
      </w:pPr>
      <w:r>
        <w:rPr>
          <w:rFonts w:ascii="Calibri" w:cs="Calibri" w:eastAsia="Calibri" w:hAnsi="Calibri"/>
          <w:color w:val="1A1A1A"/>
          <w:sz w:val="21"/>
          <w:szCs w:val="21"/>
        </w:rPr>
        <w:t xml:space="preserve">Maximaal tien pagina's</w:t>
      </w:r>
    </w:p>
    <w:p>
      <w:pPr>
        <w:pStyle w:val="Heading2"/>
        <w:spacing w:after="160" w:before="360"/>
      </w:pPr>
      <w:r>
        <w:rPr>
          <w:rFonts w:ascii="Calibri" w:cs="Calibri" w:eastAsia="Calibri" w:hAnsi="Calibri"/>
          <w:b/>
          <w:bCs/>
          <w:color w:val="2C5AA0"/>
          <w:sz w:val="26"/>
          <w:szCs w:val="26"/>
        </w:rPr>
        <w:t xml:space="preserve">Oefenvragen ter voorbereiding op de boardsimulatie</w:t>
      </w:r>
    </w:p>
    <w:p>
      <w:pPr>
        <w:spacing w:after="180" w:line="300"/>
        <w:jc w:val="both"/>
      </w:pPr>
      <w:r>
        <w:rPr>
          <w:rFonts w:ascii="Calibri" w:cs="Calibri" w:eastAsia="Calibri" w:hAnsi="Calibri"/>
          <w:color w:val="1A1A1A"/>
          <w:sz w:val="21"/>
          <w:szCs w:val="21"/>
        </w:rPr>
        <w:t xml:space="preserve">Beantwoord elk van de volgende acht vragen (vier vooraf-gedeeld-stijl, vier onvoorzien-stijl) voordat je de boardsimulatie ingaat.</w:t>
      </w:r>
    </w:p>
    <w:p>
      <w:pPr>
        <w:spacing w:after="180" w:line="300"/>
        <w:jc w:val="both"/>
      </w:pPr>
      <w:r>
        <w:rPr>
          <w:rFonts w:ascii="Calibri" w:cs="Calibri" w:eastAsia="Calibri" w:hAnsi="Calibri"/>
          <w:b/>
          <w:bCs/>
          <w:color w:val="1B2A4A"/>
          <w:sz w:val="21"/>
          <w:szCs w:val="21"/>
        </w:rPr>
        <w:t xml:space="preserve">Vooraf-gedeeld-stijl:</w:t>
      </w:r>
    </w:p>
    <w:p>
      <w:pPr>
        <w:pStyle w:val="ListParagraph"/>
        <w:numPr>
          <w:ilvl w:val="0"/>
          <w:numId w:val="2"/>
        </w:numPr>
        <w:spacing w:after="100" w:line="280"/>
      </w:pPr>
      <w:r>
        <w:rPr>
          <w:rFonts w:ascii="Calibri" w:cs="Calibri" w:eastAsia="Calibri" w:hAnsi="Calibri"/>
          <w:color w:val="1A1A1A"/>
          <w:sz w:val="21"/>
          <w:szCs w:val="21"/>
        </w:rPr>
        <w:t xml:space="preserve">1. Wat kost uitstel van de invaardatum, concreet, in euro's en in reputatie?</w:t>
      </w:r>
    </w:p>
    <w:p>
      <w:pPr>
        <w:pStyle w:val="ListParagraph"/>
        <w:numPr>
          <w:ilvl w:val="0"/>
          <w:numId w:val="2"/>
        </w:numPr>
        <w:spacing w:after="100" w:line="280"/>
      </w:pPr>
      <w:r>
        <w:rPr>
          <w:rFonts w:ascii="Calibri" w:cs="Calibri" w:eastAsia="Calibri" w:hAnsi="Calibri"/>
          <w:color w:val="1A1A1A"/>
          <w:sz w:val="21"/>
          <w:szCs w:val="21"/>
        </w:rPr>
        <w:t xml:space="preserve">2. Is de besluitvorming rond dit advies aantoonbaar adequaat, conform artikel 46b Besluit uitvoering Pw?</w:t>
      </w:r>
    </w:p>
    <w:p>
      <w:pPr>
        <w:pStyle w:val="ListParagraph"/>
        <w:numPr>
          <w:ilvl w:val="0"/>
          <w:numId w:val="2"/>
        </w:numPr>
        <w:spacing w:after="100" w:line="280"/>
      </w:pPr>
      <w:r>
        <w:rPr>
          <w:rFonts w:ascii="Calibri" w:cs="Calibri" w:eastAsia="Calibri" w:hAnsi="Calibri"/>
          <w:color w:val="1A1A1A"/>
          <w:sz w:val="21"/>
          <w:szCs w:val="21"/>
        </w:rPr>
        <w:t xml:space="preserve">3. Is het advies zelf, als document, navolgbaar en compleet?</w:t>
      </w:r>
    </w:p>
    <w:p>
      <w:pPr>
        <w:pStyle w:val="ListParagraph"/>
        <w:numPr>
          <w:ilvl w:val="0"/>
          <w:numId w:val="2"/>
        </w:numPr>
        <w:spacing w:after="100" w:line="280"/>
      </w:pPr>
      <w:r>
        <w:rPr>
          <w:rFonts w:ascii="Calibri" w:cs="Calibri" w:eastAsia="Calibri" w:hAnsi="Calibri"/>
          <w:color w:val="1A1A1A"/>
          <w:sz w:val="21"/>
          <w:szCs w:val="21"/>
        </w:rPr>
        <w:t xml:space="preserve">4. Welke van de voorgestelde voorwaarden zijn binnen zes maanden realistisch haalbaar?</w:t>
      </w:r>
    </w:p>
    <w:p>
      <w:pPr>
        <w:spacing w:after="180" w:line="300"/>
        <w:jc w:val="both"/>
      </w:pPr>
      <w:r>
        <w:rPr>
          <w:rFonts w:ascii="Calibri" w:cs="Calibri" w:eastAsia="Calibri" w:hAnsi="Calibri"/>
          <w:b/>
          <w:bCs/>
          <w:color w:val="1B2A4A"/>
          <w:sz w:val="21"/>
          <w:szCs w:val="21"/>
        </w:rPr>
        <w:t xml:space="preserve">Onvoorzien-stijl</w:t>
      </w:r>
      <w:r>
        <w:rPr>
          <w:rFonts w:ascii="Calibri" w:cs="Calibri" w:eastAsia="Calibri" w:hAnsi="Calibri"/>
          <w:color w:val="1A1A1A"/>
          <w:sz w:val="21"/>
          <w:szCs w:val="21"/>
        </w:rPr>
        <w:t xml:space="preserve"> (probeer deze te beantwoorden zonder ze van tevoren grondig te hebben voorbereid, om het effect van de echte simulatie te benaderen):</w:t>
      </w:r>
    </w:p>
    <w:p>
      <w:pPr>
        <w:pStyle w:val="ListParagraph"/>
        <w:numPr>
          <w:ilvl w:val="0"/>
          <w:numId w:val="2"/>
        </w:numPr>
        <w:spacing w:after="100" w:line="280"/>
      </w:pPr>
      <w:r>
        <w:rPr>
          <w:rFonts w:ascii="Calibri" w:cs="Calibri" w:eastAsia="Calibri" w:hAnsi="Calibri"/>
          <w:color w:val="1A1A1A"/>
          <w:sz w:val="21"/>
          <w:szCs w:val="21"/>
        </w:rPr>
        <w:t xml:space="preserve">5. Waarom is dit niet eerder zo scherp geagendeerd, gegeven dat het signaal er al in deel 29 was?</w:t>
      </w:r>
    </w:p>
    <w:p>
      <w:pPr>
        <w:pStyle w:val="ListParagraph"/>
        <w:numPr>
          <w:ilvl w:val="0"/>
          <w:numId w:val="2"/>
        </w:numPr>
        <w:spacing w:after="100" w:line="280"/>
      </w:pPr>
      <w:r>
        <w:rPr>
          <w:rFonts w:ascii="Calibri" w:cs="Calibri" w:eastAsia="Calibri" w:hAnsi="Calibri"/>
          <w:color w:val="1A1A1A"/>
          <w:sz w:val="21"/>
          <w:szCs w:val="21"/>
        </w:rPr>
        <w:t xml:space="preserve">6. Waarom is het BCM-hiaat uit deel 25 nooit volledig gedicht, ondanks eerdere signalering?</w:t>
      </w:r>
    </w:p>
    <w:p>
      <w:pPr>
        <w:pStyle w:val="ListParagraph"/>
        <w:numPr>
          <w:ilvl w:val="0"/>
          <w:numId w:val="2"/>
        </w:numPr>
        <w:spacing w:after="100" w:line="280"/>
      </w:pPr>
      <w:r>
        <w:rPr>
          <w:rFonts w:ascii="Calibri" w:cs="Calibri" w:eastAsia="Calibri" w:hAnsi="Calibri"/>
          <w:color w:val="1A1A1A"/>
          <w:sz w:val="21"/>
          <w:szCs w:val="21"/>
        </w:rPr>
        <w:t xml:space="preserve">7. Kun je de kwantitatieve onderbouwing uit onderdeel 3 verdedigen als iemand de aannames aanvalt?</w:t>
      </w:r>
    </w:p>
    <w:p>
      <w:pPr>
        <w:pStyle w:val="ListParagraph"/>
        <w:numPr>
          <w:ilvl w:val="0"/>
          <w:numId w:val="2"/>
        </w:numPr>
        <w:spacing w:after="100" w:line="280"/>
      </w:pPr>
      <w:r>
        <w:rPr>
          <w:rFonts w:ascii="Calibri" w:cs="Calibri" w:eastAsia="Calibri" w:hAnsi="Calibri"/>
          <w:color w:val="1A1A1A"/>
          <w:sz w:val="21"/>
          <w:szCs w:val="21"/>
        </w:rPr>
        <w:t xml:space="preserve">8. Is dit niet gewoon een normale tegenslag die elk transitieprogramma kent?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Toelichting bij vraag 5 en 6 — de lastigste twee</w:t>
            </w:r>
          </w:p>
          <w:p>
            <w:r>
              <w:rPr>
                <w:rFonts w:ascii="Calibri" w:cs="Calibri" w:eastAsia="Calibri" w:hAnsi="Calibri"/>
                <w:color w:val="1A1A1A"/>
                <w:sz w:val="20"/>
                <w:szCs w:val="20"/>
              </w:rPr>
              <w:t xml:space="preserve">Deze twee vragen testen niet de inhoud van het advies, maar de eerlijkheid van de presentator over de eigen eerdere beperkingen. Een zwak antwoord verdedigt zichzelf (‘we hebben er wel iets aan gedaan’). Een sterk antwoord erkent eerlijk wat er destijds niet is gebeurd, en verbindt dat aan wat er nu, met deze les geleerd, anders gaat — bijvoorbeeld: ‘het BCM-hiaat is destijds als risico vastgelegd, maar de prioritering binnen een breed portfolio aan risico's was onvoldoende scherp; dit advies stelt nu voor dat dit soort ketenrisico's een eigen, verplichte mijlpaal krijgt, niet alleen een regel in een register.’
Dit sluit direct aan bij Kernzin 1 (deel 1, niveau 1): erkennen dat iets in het register heeft gestaan zonder ooit een besluit te veranderen, is precies het patroon dat deze hele cursus heeft proberen te doorbreken — en de eerlijkheid daarover, ín de masterproef zelf, is een teken van professionele volwassenheid, niet van falen.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30</w:t>
      </w:r>
    </w:p>
    <w:p>
      <w:pPr>
        <w:pStyle w:val="ListParagraph"/>
        <w:numPr>
          <w:ilvl w:val="0"/>
          <w:numId w:val="2"/>
        </w:numPr>
        <w:spacing w:after="100" w:line="280"/>
      </w:pPr>
      <w:r>
        <w:rPr>
          <w:rFonts w:ascii="Calibri" w:cs="Calibri" w:eastAsia="Calibri" w:hAnsi="Calibri"/>
          <w:color w:val="1A1A1A"/>
          <w:sz w:val="21"/>
          <w:szCs w:val="21"/>
        </w:rPr>
        <w:t xml:space="preserve">1. Wat is het scenario van de masterproef, en waarom overlapt het niet met de datakwaliteitscrisis van de PM- en SAFe-cursus?</w:t>
      </w:r>
    </w:p>
    <w:p>
      <w:pPr>
        <w:pStyle w:val="ListParagraph"/>
        <w:numPr>
          <w:ilvl w:val="0"/>
          <w:numId w:val="2"/>
        </w:numPr>
        <w:spacing w:after="100" w:line="280"/>
      </w:pPr>
      <w:r>
        <w:rPr>
          <w:rFonts w:ascii="Calibri" w:cs="Calibri" w:eastAsia="Calibri" w:hAnsi="Calibri"/>
          <w:color w:val="1A1A1A"/>
          <w:sz w:val="21"/>
          <w:szCs w:val="21"/>
        </w:rPr>
        <w:t xml:space="preserve">2. Noem de zeven vaste onderdelen van het schriftelijke advies.</w:t>
      </w:r>
    </w:p>
    <w:p>
      <w:pPr>
        <w:pStyle w:val="ListParagraph"/>
        <w:numPr>
          <w:ilvl w:val="0"/>
          <w:numId w:val="2"/>
        </w:numPr>
        <w:spacing w:after="100" w:line="280"/>
      </w:pPr>
      <w:r>
        <w:rPr>
          <w:rFonts w:ascii="Calibri" w:cs="Calibri" w:eastAsia="Calibri" w:hAnsi="Calibri"/>
          <w:color w:val="1A1A1A"/>
          <w:sz w:val="21"/>
          <w:szCs w:val="21"/>
        </w:rPr>
        <w:t xml:space="preserve">3. Noem de vier rollen van de boardsimulatie en hun primaire zorg.</w:t>
      </w:r>
    </w:p>
    <w:p>
      <w:pPr>
        <w:pStyle w:val="ListParagraph"/>
        <w:numPr>
          <w:ilvl w:val="0"/>
          <w:numId w:val="2"/>
        </w:numPr>
        <w:spacing w:after="100" w:line="280"/>
      </w:pPr>
      <w:r>
        <w:rPr>
          <w:rFonts w:ascii="Calibri" w:cs="Calibri" w:eastAsia="Calibri" w:hAnsi="Calibri"/>
          <w:color w:val="1A1A1A"/>
          <w:sz w:val="21"/>
          <w:szCs w:val="21"/>
        </w:rPr>
        <w:t xml:space="preserve">4. Wat is het verschil tussen vooraf gedeelde en onvoorziene vragen, en waarom zijn beide nodig?</w:t>
      </w:r>
    </w:p>
    <w:p>
      <w:pPr>
        <w:pStyle w:val="ListParagraph"/>
        <w:numPr>
          <w:ilvl w:val="0"/>
          <w:numId w:val="2"/>
        </w:numPr>
        <w:spacing w:after="100" w:line="280"/>
      </w:pPr>
      <w:r>
        <w:rPr>
          <w:rFonts w:ascii="Calibri" w:cs="Calibri" w:eastAsia="Calibri" w:hAnsi="Calibri"/>
          <w:color w:val="1A1A1A"/>
          <w:sz w:val="21"/>
          <w:szCs w:val="21"/>
        </w:rPr>
        <w:t xml:space="preserve">5. Noem de zes rubriekcriteria.</w:t>
      </w:r>
    </w:p>
    <w:p>
      <w:pPr>
        <w:pStyle w:val="ListParagraph"/>
        <w:numPr>
          <w:ilvl w:val="0"/>
          <w:numId w:val="2"/>
        </w:numPr>
        <w:spacing w:after="100" w:line="280"/>
      </w:pPr>
      <w:r>
        <w:rPr>
          <w:rFonts w:ascii="Calibri" w:cs="Calibri" w:eastAsia="Calibri" w:hAnsi="Calibri"/>
          <w:color w:val="1A1A1A"/>
          <w:sz w:val="21"/>
          <w:szCs w:val="21"/>
        </w:rPr>
        <w:t xml:space="preserve">6. Welk criterium is doorslaggevend bij twijfel, en waarom?</w:t>
      </w:r>
    </w:p>
    <w:p>
      <w:pPr>
        <w:pStyle w:val="ListParagraph"/>
        <w:numPr>
          <w:ilvl w:val="0"/>
          <w:numId w:val="2"/>
        </w:numPr>
        <w:spacing w:after="100" w:line="280"/>
      </w:pPr>
      <w:r>
        <w:rPr>
          <w:rFonts w:ascii="Calibri" w:cs="Calibri" w:eastAsia="Calibri" w:hAnsi="Calibri"/>
          <w:color w:val="1A1A1A"/>
          <w:sz w:val="21"/>
          <w:szCs w:val="21"/>
        </w:rPr>
        <w:t xml:space="preserve">7. Wat toont de slotreflectie over de hele cursusboog?</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Een langdurig incident bij de externe pensioenadministrateur (Verantis) tijdens de laatste zes maanden vóór de invaardatum — een uitbestedings-/ketenrisicoscenario, geen datakwaliteitscrisis, in lijn met de bewuste keuze om niet te overlappen met de masterproeven van de PM- en SAFe-cursus.</w:t>
      </w:r>
    </w:p>
    <w:p>
      <w:pPr>
        <w:spacing w:after="180" w:line="300"/>
        <w:jc w:val="both"/>
      </w:pPr>
      <w:r>
        <w:rPr>
          <w:rFonts w:ascii="Calibri" w:cs="Calibri" w:eastAsia="Calibri" w:hAnsi="Calibri"/>
          <w:color w:val="1A1A1A"/>
          <w:sz w:val="21"/>
          <w:szCs w:val="21"/>
        </w:rPr>
        <w:t xml:space="preserve">2. Feitenrelaas; kruisverwijzingen naar eerdere bevindingen; geactualiseerde risicobeoordeling; opties; advies met onderbouwing; voorwaarden en mitigatie; positionering van het escalatierecht.</w:t>
      </w:r>
    </w:p>
    <w:p>
      <w:pPr>
        <w:spacing w:after="180" w:line="300"/>
        <w:jc w:val="both"/>
      </w:pPr>
      <w:r>
        <w:rPr>
          <w:rFonts w:ascii="Calibri" w:cs="Calibri" w:eastAsia="Calibri" w:hAnsi="Calibri"/>
          <w:color w:val="1A1A1A"/>
          <w:sz w:val="21"/>
          <w:szCs w:val="21"/>
        </w:rPr>
        <w:t xml:space="preserve">3. De bestuursvoorzitter (reputatie en deadline), DNB (adequaatheid van de besluitvorming en toezicht), de sleutelfunctiehouder interne audit (kwaliteit en volledigheid van het advies als document), de programmadirecteur (uitvoerbaarheid van de voorwaarden).</w:t>
      </w:r>
    </w:p>
    <w:p>
      <w:pPr>
        <w:spacing w:after="180" w:line="300"/>
        <w:jc w:val="both"/>
      </w:pPr>
      <w:r>
        <w:rPr>
          <w:rFonts w:ascii="Calibri" w:cs="Calibri" w:eastAsia="Calibri" w:hAnsi="Calibri"/>
          <w:color w:val="1A1A1A"/>
          <w:sz w:val="21"/>
          <w:szCs w:val="21"/>
        </w:rPr>
        <w:t xml:space="preserve">4. Vooraf gedeelde vragen laten gerichte voorbereiding toe en testen diepgang; onvoorziene vragen testen of het advies ook onder onverwachte druk overeind blijft — beide zijn nodig om zowel grondigheid als veerkracht te toetsen.</w:t>
      </w:r>
    </w:p>
    <w:p>
      <w:pPr>
        <w:spacing w:after="180" w:line="300"/>
        <w:jc w:val="both"/>
      </w:pPr>
      <w:r>
        <w:rPr>
          <w:rFonts w:ascii="Calibri" w:cs="Calibri" w:eastAsia="Calibri" w:hAnsi="Calibri"/>
          <w:color w:val="1A1A1A"/>
          <w:sz w:val="21"/>
          <w:szCs w:val="21"/>
        </w:rPr>
        <w:t xml:space="preserve">5. Feitelijke grondigheid, kwantitatieve onderbouwing, volledigheid van de opties, consistentie tussen registers, ethische positionering, het onderbouwde ‘nee, dit niet’.</w:t>
      </w:r>
    </w:p>
    <w:p>
      <w:pPr>
        <w:spacing w:after="180" w:line="300"/>
        <w:jc w:val="both"/>
      </w:pPr>
      <w:r>
        <w:rPr>
          <w:rFonts w:ascii="Calibri" w:cs="Calibri" w:eastAsia="Calibri" w:hAnsi="Calibri"/>
          <w:color w:val="1A1A1A"/>
          <w:sz w:val="21"/>
          <w:szCs w:val="21"/>
        </w:rPr>
        <w:t xml:space="preserve">6. Het onderbouwde ‘nee, dit niet’ — een advies dat onder druk alsnog toegeeft zonder dat de analyse dat rechtvaardigt, faalt op het kernpunt van de hele cursus, ongeacht de kwaliteit van de rest.</w:t>
      </w:r>
    </w:p>
    <w:p>
      <w:pPr>
        <w:spacing w:after="180" w:line="300"/>
        <w:jc w:val="both"/>
      </w:pPr>
      <w:r>
        <w:rPr>
          <w:rFonts w:ascii="Calibri" w:cs="Calibri" w:eastAsia="Calibri" w:hAnsi="Calibri"/>
          <w:color w:val="1A1A1A"/>
          <w:sz w:val="21"/>
          <w:szCs w:val="21"/>
        </w:rPr>
        <w:t xml:space="preserve">7. Dat vrijwel elk instrument uit de dertig delen — de risicozin, mandaat versus invloed, de kernregel over register en nadruk, en meer — hier samenkomt in één advies, van het lege register in deel 1 tot het wettelijke escalatierecht in deel 30.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2026-08-17T07:29:11.933Z</dcterms:created>
  <dcterms:modified xsi:type="dcterms:W3CDTF">2026-08-17T07:29:11.934Z</dcterms:modified>
</cp:coreProperties>
</file>

<file path=docProps/custom.xml><?xml version="1.0" encoding="utf-8"?>
<Properties xmlns="http://schemas.openxmlformats.org/officeDocument/2006/custom-properties" xmlns:vt="http://schemas.openxmlformats.org/officeDocument/2006/docPropsVTypes"/>
</file>