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Toolbijlage — Monte Carlo, bow-tie-notatie en Eramba-referentiemateriaal</w:t>
      </w:r>
    </w:p>
    <w:p>
      <w:pPr>
        <w:spacing w:before="600"/>
        <w:jc w:val="center"/>
      </w:pPr>
      <w:r>
        <w:rPr>
          <w:rFonts w:ascii="Calibri" w:cs="Calibri" w:eastAsia="Calibri" w:hAnsi="Calibri"/>
          <w:b/>
          <w:bCs/>
          <w:color w:val="1B2A4A"/>
          <w:sz w:val="24"/>
          <w:szCs w:val="24"/>
        </w:rPr>
        <w:t xml:space="preserve">Buiten de nummering van de dertig delen</w:t>
      </w:r>
    </w:p>
    <w:p>
      <w:pPr>
        <w:spacing w:before="200"/>
        <w:jc w:val="center"/>
      </w:pPr>
      <w:r>
        <w:rPr>
          <w:rFonts w:ascii="Calibri" w:cs="Calibri" w:eastAsia="Calibri" w:hAnsi="Calibri"/>
          <w:i/>
          <w:iCs/>
          <w:color w:val="D99A3D"/>
          <w:sz w:val="24"/>
          <w:szCs w:val="24"/>
        </w:rPr>
        <w:t xml:space="preserve">Naslagwerk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Toolbijlage — Monte Carlo, bow-tie-notatie en Eramba-referentiemateriaal</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Positionering</w:t>
            </w:r>
          </w:p>
          <w:p>
            <w:r>
              <w:rPr>
                <w:rFonts w:ascii="Calibri" w:cs="Calibri" w:eastAsia="Calibri" w:hAnsi="Calibri"/>
                <w:color w:val="1A1A1A"/>
                <w:sz w:val="20"/>
                <w:szCs w:val="20"/>
              </w:rPr>
              <w:t xml:space="preserve">Deze cursus is toolneutraal opgezet: geen enkel deel veronderstelt dat u met specifieke software werkt. De risicozin, de matrix, Monte Carlo-simulatie en bow-tie-analyse zijn denkinstrumenten, geen softwarekeuzes — en de examens (CRMF, M_o_R, IRM) toetsen die denkinstrumenten, niet een tool. Deze bijlage bundelt drie dingen die elders in de cursus naar ‘Toolbijlage’ verwezen: de Python- en Excel-uitwerking van Monte Carlo-simulatie (deel 15), een toolneutrale notatiekaart voor bow-tie-diagrammen (deel 16), en klikpaden in één concreet GRC-pakket. Voor dat laatste kiest deze bijlage Eramba Community Edition — gratis, open-source en zelf te installeren, zodat elke docent en deelnemer de klikpaden zelf kan natrekken zonder licentiekosten. Geen vereiste: elk deel van de cursus blijft ook zonder Eramba volledig te volgen.
Bijgewerkt voor Eramba Community Edition; controleer bij afwijkende versies het menupad zelf — de begrippen (risicoregister, kans/impact, beheersmaatregel, KRI) veranderen zelden, de exacte menu-indeling soms wel.</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1. Monte Carlo-simulatie in Python</w:t>
      </w:r>
    </w:p>
    <w:p>
      <w:pPr>
        <w:spacing w:after="180" w:line="300"/>
        <w:jc w:val="both"/>
      </w:pPr>
      <w:r>
        <w:rPr>
          <w:rFonts w:ascii="Calibri" w:cs="Calibri" w:eastAsia="Calibri" w:hAnsi="Calibri"/>
          <w:color w:val="1A1A1A"/>
          <w:sz w:val="21"/>
          <w:szCs w:val="21"/>
        </w:rPr>
        <w:t xml:space="preserve">Dit is exact de code uit deel 15, §15.3 — hier herhaald als losstaand naslagwerk, met de twee uitbreidingsvragen uit opdracht 15.3 als aanvulling.</w:t>
      </w:r>
    </w:p>
    <w:tbl>
      <w:tblPr>
        <w:tblW w:type="pct" w:w="100%"/>
        <w:tblBorders>
          <w:top w:val="single" w:color="C7CCD6" w:sz="2"/>
          <w:left w:val="single" w:color="C7CCD6" w:sz="2"/>
          <w:bottom w:val="single" w:color="C7CCD6" w:sz="2"/>
          <w:right w:val="single" w:color="C7CCD6" w:sz="2"/>
          <w:insideH w:val="none" w:color="FFFFFF" w:sz="0"/>
          <w:insideV w:val="none" w:color="FFFFFF" w:sz="0"/>
        </w:tblBorders>
      </w:tblPr>
      <w:tblGrid>
        <w:gridCol w:w="100"/>
      </w:tblGrid>
      <w:tr>
        <w:tc>
          <w:tcPr>
            <w:shd w:fill="F4F6F9" w:color="auto" w:val="clear"/>
            <w:tcMar>
              <w:top w:type="dxa" w:w="160"/>
              <w:left w:type="dxa" w:w="200"/>
              <w:bottom w:type="dxa" w:w="160"/>
              <w:right w:type="dxa" w:w="200"/>
            </w:tcMar>
          </w:tcPr>
          <w:p>
            <w:pPr>
              <w:spacing w:after="0" w:line="260"/>
            </w:pPr>
            <w:r>
              <w:rPr>
                <w:rFonts w:ascii="Consolas" w:cs="Consolas" w:eastAsia="Consolas" w:hAnsi="Consolas"/>
                <w:color w:val="1B2A4A"/>
                <w:sz w:val="17"/>
                <w:szCs w:val="17"/>
              </w:rPr>
              <w:t xml:space="preserve">import numpy as np</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rng = np.random.default_rng(seed=42)  # seed voor reproduceerbaarheid</w:t>
            </w:r>
          </w:p>
          <w:p>
            <w:pPr>
              <w:spacing w:after="0" w:line="260"/>
            </w:pPr>
            <w:r>
              <w:rPr>
                <w:rFonts w:ascii="Consolas" w:cs="Consolas" w:eastAsia="Consolas" w:hAnsi="Consolas"/>
                <w:color w:val="1B2A4A"/>
                <w:sz w:val="17"/>
                <w:szCs w:val="17"/>
              </w:rPr>
              <w:t xml:space="preserve">n_simulaties = 10_000</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Drie-puntsschattingen (optimistisch, meest waarschijnlijk, pessimistisch)</w:t>
            </w:r>
          </w:p>
          <w:p>
            <w:pPr>
              <w:spacing w:after="0" w:line="260"/>
            </w:pPr>
            <w:r>
              <w:rPr>
                <w:rFonts w:ascii="Consolas" w:cs="Consolas" w:eastAsia="Consolas" w:hAnsi="Consolas"/>
                <w:color w:val="1B2A4A"/>
                <w:sz w:val="17"/>
                <w:szCs w:val="17"/>
              </w:rPr>
              <w:t xml:space="preserve">schattingen = {</w:t>
            </w:r>
          </w:p>
          <w:p>
            <w:pPr>
              <w:spacing w:after="0" w:line="260"/>
            </w:pPr>
            <w:r>
              <w:rPr>
                <w:rFonts w:ascii="Consolas" w:cs="Consolas" w:eastAsia="Consolas" w:hAnsi="Consolas"/>
                <w:color w:val="1B2A4A"/>
                <w:sz w:val="17"/>
                <w:szCs w:val="17"/>
              </w:rPr>
              <w:t xml:space="preserve">    "P1": (8, 10, 16),</w:t>
            </w:r>
          </w:p>
          <w:p>
            <w:pPr>
              <w:spacing w:after="0" w:line="260"/>
            </w:pPr>
            <w:r>
              <w:rPr>
                <w:rFonts w:ascii="Consolas" w:cs="Consolas" w:eastAsia="Consolas" w:hAnsi="Consolas"/>
                <w:color w:val="1B2A4A"/>
                <w:sz w:val="17"/>
                <w:szCs w:val="17"/>
              </w:rPr>
              <w:t xml:space="preserve">    "P2": (6, 9, 14),</w:t>
            </w:r>
          </w:p>
          <w:p>
            <w:pPr>
              <w:spacing w:after="0" w:line="260"/>
            </w:pPr>
            <w:r>
              <w:rPr>
                <w:rFonts w:ascii="Consolas" w:cs="Consolas" w:eastAsia="Consolas" w:hAnsi="Consolas"/>
                <w:color w:val="1B2A4A"/>
                <w:sz w:val="17"/>
                <w:szCs w:val="17"/>
              </w:rPr>
              <w:t xml:space="preserve">    "P3_eigen": (4, 6, 10),      # P3's eigen doorlooptijd, na start</w:t>
            </w:r>
          </w:p>
          <w:p>
            <w:pPr>
              <w:spacing w:after="0" w:line="260"/>
            </w:pPr>
            <w:r>
              <w:rPr>
                <w:rFonts w:ascii="Consolas" w:cs="Consolas" w:eastAsia="Consolas" w:hAnsi="Consolas"/>
                <w:color w:val="1B2A4A"/>
                <w:sz w:val="17"/>
                <w:szCs w:val="17"/>
              </w:rPr>
              <w:t xml:space="preserve">    "P4": (5, 7, 11),</w:t>
            </w:r>
          </w:p>
          <w:p>
            <w:pPr>
              <w:spacing w:after="0" w:line="260"/>
            </w:pPr>
            <w:r>
              <w:rPr>
                <w:rFonts w:ascii="Consolas" w:cs="Consolas" w:eastAsia="Consolas" w:hAnsi="Consolas"/>
                <w:color w:val="1B2A4A"/>
                <w:sz w:val="17"/>
                <w:szCs w:val="17"/>
              </w:rPr>
              <w:t xml:space="preserve">    "P5": (4, 6, 12),</w:t>
            </w:r>
          </w:p>
          <w:p>
            <w:pPr>
              <w:spacing w:after="0" w:line="260"/>
            </w:pPr>
            <w:r>
              <w:rPr>
                <w:rFonts w:ascii="Consolas" w:cs="Consolas" w:eastAsia="Consolas" w:hAnsi="Consolas"/>
                <w:color w:val="1B2A4A"/>
                <w:sz w:val="17"/>
                <w:szCs w:val="17"/>
              </w:rPr>
              <w:t xml:space="preserve">}</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def trek_driehoek(o, m, p, n):</w:t>
            </w:r>
          </w:p>
          <w:p>
            <w:pPr>
              <w:spacing w:after="0" w:line="260"/>
            </w:pPr>
            <w:r>
              <w:rPr>
                <w:rFonts w:ascii="Consolas" w:cs="Consolas" w:eastAsia="Consolas" w:hAnsi="Consolas"/>
                <w:color w:val="1B2A4A"/>
                <w:sz w:val="17"/>
                <w:szCs w:val="17"/>
              </w:rPr>
              <w:t xml:space="preserve">    return rng.triangular(o, m, p, n)</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Onafhankelijke trekkingen voor P2, P3 (eigen deel) en P5</w:t>
            </w:r>
          </w:p>
          <w:p>
            <w:pPr>
              <w:spacing w:after="0" w:line="260"/>
            </w:pPr>
            <w:r>
              <w:rPr>
                <w:rFonts w:ascii="Consolas" w:cs="Consolas" w:eastAsia="Consolas" w:hAnsi="Consolas"/>
                <w:color w:val="1B2A4A"/>
                <w:sz w:val="17"/>
                <w:szCs w:val="17"/>
              </w:rPr>
              <w:t xml:space="preserve">p2 = trek_driehoek(*schattingen["P2"], n_simulaties)</w:t>
            </w:r>
          </w:p>
          <w:p>
            <w:pPr>
              <w:spacing w:after="0" w:line="260"/>
            </w:pPr>
            <w:r>
              <w:rPr>
                <w:rFonts w:ascii="Consolas" w:cs="Consolas" w:eastAsia="Consolas" w:hAnsi="Consolas"/>
                <w:color w:val="1B2A4A"/>
                <w:sz w:val="17"/>
                <w:szCs w:val="17"/>
              </w:rPr>
              <w:t xml:space="preserve">p3_eigen = trek_driehoek(*schattingen["P3_eigen"], n_simulaties)</w:t>
            </w:r>
          </w:p>
          <w:p>
            <w:pPr>
              <w:spacing w:after="0" w:line="260"/>
            </w:pPr>
            <w:r>
              <w:rPr>
                <w:rFonts w:ascii="Consolas" w:cs="Consolas" w:eastAsia="Consolas" w:hAnsi="Consolas"/>
                <w:color w:val="1B2A4A"/>
                <w:sz w:val="17"/>
                <w:szCs w:val="17"/>
              </w:rPr>
              <w:t xml:space="preserve">p5 = trek_driehoek(*schattingen["P5"], n_simulaties)</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Gecorreleerde trekkingen voor P1 en P4: gedeelde leveranciersvertraging</w:t>
            </w:r>
          </w:p>
          <w:p>
            <w:pPr>
              <w:spacing w:after="0" w:line="260"/>
            </w:pPr>
            <w:r>
              <w:rPr>
                <w:rFonts w:ascii="Consolas" w:cs="Consolas" w:eastAsia="Consolas" w:hAnsi="Consolas"/>
                <w:color w:val="1B2A4A"/>
                <w:sz w:val="17"/>
                <w:szCs w:val="17"/>
              </w:rPr>
              <w:t xml:space="preserve">leverancier_factor = rng.triangular(0, 1, 3, n_simulaties)</w:t>
            </w:r>
          </w:p>
          <w:p>
            <w:pPr>
              <w:spacing w:after="0" w:line="260"/>
            </w:pPr>
            <w:r>
              <w:rPr>
                <w:rFonts w:ascii="Consolas" w:cs="Consolas" w:eastAsia="Consolas" w:hAnsi="Consolas"/>
                <w:color w:val="1B2A4A"/>
                <w:sz w:val="17"/>
                <w:szCs w:val="17"/>
              </w:rPr>
              <w:t xml:space="preserve">p1_eigen = trek_driehoek(8, 9, 12, n_simulaties)</w:t>
            </w:r>
          </w:p>
          <w:p>
            <w:pPr>
              <w:spacing w:after="0" w:line="260"/>
            </w:pPr>
            <w:r>
              <w:rPr>
                <w:rFonts w:ascii="Consolas" w:cs="Consolas" w:eastAsia="Consolas" w:hAnsi="Consolas"/>
                <w:color w:val="1B2A4A"/>
                <w:sz w:val="17"/>
                <w:szCs w:val="17"/>
              </w:rPr>
              <w:t xml:space="preserve">p4_eigen = trek_driehoek(5, 6, 9, n_simulaties)</w:t>
            </w:r>
          </w:p>
          <w:p>
            <w:pPr>
              <w:spacing w:after="0" w:line="260"/>
            </w:pPr>
            <w:r>
              <w:rPr>
                <w:rFonts w:ascii="Consolas" w:cs="Consolas" w:eastAsia="Consolas" w:hAnsi="Consolas"/>
                <w:color w:val="1B2A4A"/>
                <w:sz w:val="17"/>
                <w:szCs w:val="17"/>
              </w:rPr>
              <w:t xml:space="preserve">p1 = p1_eigen + leverancier_factor</w:t>
            </w:r>
          </w:p>
          <w:p>
            <w:pPr>
              <w:spacing w:after="0" w:line="260"/>
            </w:pPr>
            <w:r>
              <w:rPr>
                <w:rFonts w:ascii="Consolas" w:cs="Consolas" w:eastAsia="Consolas" w:hAnsi="Consolas"/>
                <w:color w:val="1B2A4A"/>
                <w:sz w:val="17"/>
                <w:szCs w:val="17"/>
              </w:rPr>
              <w:t xml:space="preserve">p4 = p4_eigen + leverancier_factor</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Sequencing: P3 start pas als P5 klaar is (geplande startweek P3 = 5)</w:t>
            </w:r>
          </w:p>
          <w:p>
            <w:pPr>
              <w:spacing w:after="0" w:line="260"/>
            </w:pPr>
            <w:r>
              <w:rPr>
                <w:rFonts w:ascii="Consolas" w:cs="Consolas" w:eastAsia="Consolas" w:hAnsi="Consolas"/>
                <w:color w:val="1B2A4A"/>
                <w:sz w:val="17"/>
                <w:szCs w:val="17"/>
              </w:rPr>
              <w:t xml:space="preserve">geplande_start_p3 = 5</w:t>
            </w:r>
          </w:p>
          <w:p>
            <w:pPr>
              <w:spacing w:after="0" w:line="260"/>
            </w:pPr>
            <w:r>
              <w:rPr>
                <w:rFonts w:ascii="Consolas" w:cs="Consolas" w:eastAsia="Consolas" w:hAnsi="Consolas"/>
                <w:color w:val="1B2A4A"/>
                <w:sz w:val="17"/>
                <w:szCs w:val="17"/>
              </w:rPr>
              <w:t xml:space="preserve">p3_start = np.maximum(p5, geplande_start_p3)</w:t>
            </w:r>
          </w:p>
          <w:p>
            <w:pPr>
              <w:spacing w:after="0" w:line="260"/>
            </w:pPr>
            <w:r>
              <w:rPr>
                <w:rFonts w:ascii="Consolas" w:cs="Consolas" w:eastAsia="Consolas" w:hAnsi="Consolas"/>
                <w:color w:val="1B2A4A"/>
                <w:sz w:val="17"/>
                <w:szCs w:val="17"/>
              </w:rPr>
              <w:t xml:space="preserve">p3 = p3_start + p3_eigen</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Programmadoorlooptijd = de langst lopende lijn (het kritieke pad)</w:t>
            </w:r>
          </w:p>
          <w:p>
            <w:pPr>
              <w:spacing w:after="0" w:line="260"/>
            </w:pPr>
            <w:r>
              <w:rPr>
                <w:rFonts w:ascii="Consolas" w:cs="Consolas" w:eastAsia="Consolas" w:hAnsi="Consolas"/>
                <w:color w:val="1B2A4A"/>
                <w:sz w:val="17"/>
                <w:szCs w:val="17"/>
              </w:rPr>
              <w:t xml:space="preserve">programma_doorlooptijd = np.maximum.reduce([p1, p2, p3, p4])</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Resultaten</w:t>
            </w:r>
          </w:p>
          <w:p>
            <w:pPr>
              <w:spacing w:after="0" w:line="260"/>
            </w:pPr>
            <w:r>
              <w:rPr>
                <w:rFonts w:ascii="Consolas" w:cs="Consolas" w:eastAsia="Consolas" w:hAnsi="Consolas"/>
                <w:color w:val="1B2A4A"/>
                <w:sz w:val="17"/>
                <w:szCs w:val="17"/>
              </w:rPr>
              <w:t xml:space="preserve">deadline_weken = 16</w:t>
            </w:r>
          </w:p>
          <w:p>
            <w:pPr>
              <w:spacing w:after="0" w:line="260"/>
            </w:pPr>
            <w:r>
              <w:rPr>
                <w:rFonts w:ascii="Consolas" w:cs="Consolas" w:eastAsia="Consolas" w:hAnsi="Consolas"/>
                <w:color w:val="1B2A4A"/>
                <w:sz w:val="17"/>
                <w:szCs w:val="17"/>
              </w:rPr>
              <w:t xml:space="preserve">kans_op_tijd = np.mean(programma_doorlooptijd &lt;= deadline_weken) * 100</w:t>
            </w:r>
          </w:p>
          <w:p>
            <w:pPr>
              <w:spacing w:after="0" w:line="260"/>
            </w:pPr>
            <w:r>
              <w:rPr>
                <w:rFonts w:ascii="Consolas" w:cs="Consolas" w:eastAsia="Consolas" w:hAnsi="Consolas"/>
                <w:color w:val="1B2A4A"/>
                <w:sz w:val="17"/>
                <w:szCs w:val="17"/>
              </w:rPr>
              <w:t xml:space="preserve">p10, p50, p90 = np.percentile(programma_doorlooptijd, [10, 50, 90])</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print(f"Kans op tijd: {kans_op_tijd:.1f}%")</w:t>
            </w:r>
          </w:p>
          <w:p>
            <w:pPr>
              <w:spacing w:after="0" w:line="260"/>
            </w:pPr>
            <w:r>
              <w:rPr>
                <w:rFonts w:ascii="Consolas" w:cs="Consolas" w:eastAsia="Consolas" w:hAnsi="Consolas"/>
                <w:color w:val="1B2A4A"/>
                <w:sz w:val="17"/>
                <w:szCs w:val="17"/>
              </w:rPr>
              <w:t xml:space="preserve">print(f"P10: {p10:.1f}  P50: {p50:.1f}  P90: {p90:.1f} weken")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Installatie.</w:t>
      </w:r>
      <w:r>
        <w:rPr>
          <w:rFonts w:ascii="Calibri" w:cs="Calibri" w:eastAsia="Calibri" w:hAnsi="Calibri"/>
          <w:color w:val="1A1A1A"/>
          <w:sz w:val="21"/>
          <w:szCs w:val="21"/>
        </w:rPr>
        <w:t xml:space="preserve"> Python 3 met de bibliotheek `numpy` (`pip install numpy`) volstaat — geen andere afhankelijkheden. Voor deelnemers zonder eigen Python-omgeving: een gratis cloud-notebook voorkomt installatieproblemen op de cursusdag zelf, zoals de docentenhandleiding van deel 15 aanbeveelt.</w:t>
      </w:r>
    </w:p>
    <w:p>
      <w:pPr>
        <w:spacing w:after="180" w:line="300"/>
        <w:jc w:val="both"/>
      </w:pPr>
      <w:r>
        <w:rPr>
          <w:rFonts w:ascii="Calibri" w:cs="Calibri" w:eastAsia="Calibri" w:hAnsi="Calibri"/>
          <w:b/>
          <w:bCs/>
          <w:color w:val="1B2A4A"/>
          <w:sz w:val="21"/>
          <w:szCs w:val="21"/>
        </w:rPr>
        <w:t xml:space="preserve">Uitbreidingen (opdracht 15.3).</w:t>
      </w:r>
      <w:r>
        <w:rPr>
          <w:rFonts w:ascii="Calibri" w:cs="Calibri" w:eastAsia="Calibri" w:hAnsi="Calibri"/>
          <w:color w:val="1A1A1A"/>
          <w:sz w:val="21"/>
          <w:szCs w:val="21"/>
        </w:rPr>
        <w:t xml:space="preserve"> Een tornado-diagram (§15.7) bouw je door de bovenstaande code te herhalen, telkens met één project tijdelijk vastgezet op zijn optimistische respectievelijk pessimistische waarde in plaats van een trekking, en het effect op de P50 van `programma_doorlooptijd` te meten en te sorteren.</w:t>
      </w:r>
    </w:p>
    <w:p>
      <w:pPr>
        <w:pStyle w:val="Heading2"/>
        <w:spacing w:after="160" w:before="360"/>
      </w:pPr>
      <w:r>
        <w:rPr>
          <w:rFonts w:ascii="Calibri" w:cs="Calibri" w:eastAsia="Calibri" w:hAnsi="Calibri"/>
          <w:b/>
          <w:bCs/>
          <w:color w:val="2C5AA0"/>
          <w:sz w:val="26"/>
          <w:szCs w:val="26"/>
        </w:rPr>
        <w:t xml:space="preserve">2. Monte Carlo-simulatie in Excel</w:t>
      </w:r>
    </w:p>
    <w:p>
      <w:pPr>
        <w:spacing w:after="180" w:line="300"/>
        <w:jc w:val="both"/>
      </w:pPr>
      <w:r>
        <w:rPr>
          <w:rFonts w:ascii="Calibri" w:cs="Calibri" w:eastAsia="Calibri" w:hAnsi="Calibri"/>
          <w:color w:val="1A1A1A"/>
          <w:sz w:val="21"/>
          <w:szCs w:val="21"/>
        </w:rPr>
        <w:t xml:space="preserve">Dezelfde logica als hierboven, zonder programmeerkennis. Werk met één rij per simulatie (bijvoorbeeld 2.000 rijen — Excel wordt traag bij 10.000 volatiele RAND()-formules) en één kolom per stap.</w:t>
      </w:r>
    </w:p>
    <w:p>
      <w:pPr>
        <w:spacing w:after="180" w:line="300"/>
        <w:jc w:val="both"/>
      </w:pPr>
      <w:r>
        <w:rPr>
          <w:rFonts w:ascii="Calibri" w:cs="Calibri" w:eastAsia="Calibri" w:hAnsi="Calibri"/>
          <w:b/>
          <w:bCs/>
          <w:color w:val="1B2A4A"/>
          <w:sz w:val="21"/>
          <w:szCs w:val="21"/>
        </w:rPr>
        <w:t xml:space="preserve">De driehoeksverdeling trekken.</w:t>
      </w:r>
      <w:r>
        <w:rPr>
          <w:rFonts w:ascii="Calibri" w:cs="Calibri" w:eastAsia="Calibri" w:hAnsi="Calibri"/>
          <w:color w:val="1A1A1A"/>
          <w:sz w:val="21"/>
          <w:szCs w:val="21"/>
        </w:rPr>
        <w:t xml:space="preserve"> Voor een schatting met optimistisch O, meest waarschijnlijk M en pessimistisch P, in een hulpkolom U met `=RAND()`, en de getrokken waarde in de kolom ernaast:</w:t>
      </w:r>
    </w:p>
    <w:tbl>
      <w:tblPr>
        <w:tblW w:type="pct" w:w="100%"/>
        <w:tblBorders>
          <w:top w:val="single" w:color="C7CCD6" w:sz="2"/>
          <w:left w:val="single" w:color="C7CCD6" w:sz="2"/>
          <w:bottom w:val="single" w:color="C7CCD6" w:sz="2"/>
          <w:right w:val="single" w:color="C7CCD6" w:sz="2"/>
          <w:insideH w:val="none" w:color="FFFFFF" w:sz="0"/>
          <w:insideV w:val="none" w:color="FFFFFF" w:sz="0"/>
        </w:tblBorders>
      </w:tblPr>
      <w:tblGrid>
        <w:gridCol w:w="100"/>
      </w:tblGrid>
      <w:tr>
        <w:tc>
          <w:tcPr>
            <w:shd w:fill="F4F6F9" w:color="auto" w:val="clear"/>
            <w:tcMar>
              <w:top w:type="dxa" w:w="160"/>
              <w:left w:type="dxa" w:w="200"/>
              <w:bottom w:type="dxa" w:w="160"/>
              <w:right w:type="dxa" w:w="200"/>
            </w:tcMar>
          </w:tcPr>
          <w:p>
            <w:pPr>
              <w:spacing w:after="0" w:line="260"/>
            </w:pPr>
            <w:r>
              <w:rPr>
                <w:rFonts w:ascii="Consolas" w:cs="Consolas" w:eastAsia="Consolas" w:hAnsi="Consolas"/>
                <w:color w:val="1B2A4A"/>
                <w:sz w:val="17"/>
                <w:szCs w:val="17"/>
              </w:rPr>
              <w:t xml:space="preserve">U (hulpkolom):       =RAND()</w:t>
            </w:r>
          </w:p>
          <w:p>
            <w:pPr>
              <w:spacing w:after="0" w:line="260"/>
            </w:pPr>
            <w:r>
              <w:rPr>
                <w:rFonts w:ascii="Consolas" w:cs="Consolas" w:eastAsia="Consolas" w:hAnsi="Consolas"/>
                <w:color w:val="1B2A4A"/>
                <w:sz w:val="17"/>
                <w:szCs w:val="17"/>
              </w:rPr>
              <w:t xml:space="preserve">Getrokken waarde:    =IF(U&lt;(M-O)/(P-O),</w:t>
            </w:r>
          </w:p>
          <w:p>
            <w:pPr>
              <w:spacing w:after="0" w:line="260"/>
            </w:pPr>
            <w:r>
              <w:rPr>
                <w:rFonts w:ascii="Consolas" w:cs="Consolas" w:eastAsia="Consolas" w:hAnsi="Consolas"/>
                <w:color w:val="1B2A4A"/>
                <w:sz w:val="17"/>
                <w:szCs w:val="17"/>
              </w:rPr>
              <w:t xml:space="preserve">                          O+SQRT(U*(P-O)*(M-O)),</w:t>
            </w:r>
          </w:p>
          <w:p>
            <w:pPr>
              <w:spacing w:after="0" w:line="260"/>
            </w:pPr>
            <w:r>
              <w:rPr>
                <w:rFonts w:ascii="Consolas" w:cs="Consolas" w:eastAsia="Consolas" w:hAnsi="Consolas"/>
                <w:color w:val="1B2A4A"/>
                <w:sz w:val="17"/>
                <w:szCs w:val="17"/>
              </w:rPr>
              <w:t xml:space="preserve">                          P-SQRT((1-U)*(P-O)*(P-M)))</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de standaard inverse-transformatieformule voor een driehoeksverdeling — vervang O, M, P door celverwijzingen naar de drie-puntsschatting van het betreffende project.</w:t>
      </w:r>
    </w:p>
    <w:p>
      <w:pPr>
        <w:spacing w:after="180" w:line="300"/>
        <w:jc w:val="both"/>
      </w:pPr>
      <w:r>
        <w:rPr>
          <w:rFonts w:ascii="Calibri" w:cs="Calibri" w:eastAsia="Calibri" w:hAnsi="Calibri"/>
          <w:b/>
          <w:bCs/>
          <w:color w:val="1B2A4A"/>
          <w:sz w:val="21"/>
          <w:szCs w:val="21"/>
        </w:rPr>
        <w:t xml:space="preserve">Correlatie modelleren (P1 en P4 delen een leverancier).</w:t>
      </w:r>
      <w:r>
        <w:rPr>
          <w:rFonts w:ascii="Calibri" w:cs="Calibri" w:eastAsia="Calibri" w:hAnsi="Calibri"/>
          <w:color w:val="1A1A1A"/>
          <w:sz w:val="21"/>
          <w:szCs w:val="21"/>
        </w:rPr>
        <w:t xml:space="preserve"> Trek één gedeelde leverancier_factor-kolom (driehoek 0–1–3) en tel die op bij zowel de P1- als de P4-kolom van diezelfde rij — exact zoals in de Python-versie telt elke rij dezelfde getrokken waarde twee keer mee.</w:t>
      </w:r>
    </w:p>
    <w:p>
      <w:pPr>
        <w:spacing w:after="180" w:line="300"/>
        <w:jc w:val="both"/>
      </w:pPr>
      <w:r>
        <w:rPr>
          <w:rFonts w:ascii="Calibri" w:cs="Calibri" w:eastAsia="Calibri" w:hAnsi="Calibri"/>
          <w:b/>
          <w:bCs/>
          <w:color w:val="1B2A4A"/>
          <w:sz w:val="21"/>
          <w:szCs w:val="21"/>
        </w:rPr>
        <w:t xml:space="preserve">Sequencing (P3 na P5).</w:t>
      </w:r>
    </w:p>
    <w:tbl>
      <w:tblPr>
        <w:tblW w:type="pct" w:w="100%"/>
        <w:tblBorders>
          <w:top w:val="single" w:color="C7CCD6" w:sz="2"/>
          <w:left w:val="single" w:color="C7CCD6" w:sz="2"/>
          <w:bottom w:val="single" w:color="C7CCD6" w:sz="2"/>
          <w:right w:val="single" w:color="C7CCD6" w:sz="2"/>
          <w:insideH w:val="none" w:color="FFFFFF" w:sz="0"/>
          <w:insideV w:val="none" w:color="FFFFFF" w:sz="0"/>
        </w:tblBorders>
      </w:tblPr>
      <w:tblGrid>
        <w:gridCol w:w="100"/>
      </w:tblGrid>
      <w:tr>
        <w:tc>
          <w:tcPr>
            <w:shd w:fill="F4F6F9" w:color="auto" w:val="clear"/>
            <w:tcMar>
              <w:top w:type="dxa" w:w="160"/>
              <w:left w:type="dxa" w:w="200"/>
              <w:bottom w:type="dxa" w:w="160"/>
              <w:right w:type="dxa" w:w="200"/>
            </w:tcMar>
          </w:tcPr>
          <w:p>
            <w:pPr>
              <w:spacing w:after="0" w:line="260"/>
            </w:pPr>
            <w:r>
              <w:rPr>
                <w:rFonts w:ascii="Consolas" w:cs="Consolas" w:eastAsia="Consolas" w:hAnsi="Consolas"/>
                <w:color w:val="1B2A4A"/>
                <w:sz w:val="17"/>
                <w:szCs w:val="17"/>
              </w:rPr>
              <w:t xml:space="preserve">P3-start:   =MAX(P5-kolom; geplande_start_P3)</w:t>
            </w:r>
          </w:p>
          <w:p>
            <w:pPr>
              <w:spacing w:after="0" w:line="260"/>
            </w:pPr>
            <w:r>
              <w:rPr>
                <w:rFonts w:ascii="Consolas" w:cs="Consolas" w:eastAsia="Consolas" w:hAnsi="Consolas"/>
                <w:color w:val="1B2A4A"/>
                <w:sz w:val="17"/>
                <w:szCs w:val="17"/>
              </w:rPr>
              <w:t xml:space="preserve">P3:         =P3-start + P3_eigen-kolom</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Programmadoorlooptijd.</w:t>
      </w:r>
      <w:r>
        <w:rPr>
          <w:rFonts w:ascii="Calibri" w:cs="Calibri" w:eastAsia="Calibri" w:hAnsi="Calibri"/>
          <w:color w:val="1A1A1A"/>
          <w:sz w:val="21"/>
          <w:szCs w:val="21"/>
        </w:rPr>
        <w:t xml:space="preserve"> Per rij: `=MAX(P1-kolom; P2-kolom; P3-kolom; P4-kolom)`.</w:t>
      </w:r>
    </w:p>
    <w:p>
      <w:pPr>
        <w:spacing w:after="180" w:line="300"/>
        <w:jc w:val="both"/>
      </w:pPr>
      <w:r>
        <w:rPr>
          <w:rFonts w:ascii="Calibri" w:cs="Calibri" w:eastAsia="Calibri" w:hAnsi="Calibri"/>
          <w:b/>
          <w:bCs/>
          <w:color w:val="1B2A4A"/>
          <w:sz w:val="21"/>
          <w:szCs w:val="21"/>
        </w:rPr>
        <w:t xml:space="preserve">Resultaten</w:t>
      </w:r>
      <w:r>
        <w:rPr>
          <w:rFonts w:ascii="Calibri" w:cs="Calibri" w:eastAsia="Calibri" w:hAnsi="Calibri"/>
          <w:color w:val="1A1A1A"/>
          <w:sz w:val="21"/>
          <w:szCs w:val="21"/>
        </w:rPr>
        <w:t xml:space="preserve">, over de volledige kolom programma_doorlooptijd:</w:t>
      </w:r>
    </w:p>
    <w:tbl>
      <w:tblPr>
        <w:tblW w:type="pct" w:w="100%"/>
        <w:tblBorders>
          <w:top w:val="single" w:color="C7CCD6" w:sz="2"/>
          <w:left w:val="single" w:color="C7CCD6" w:sz="2"/>
          <w:bottom w:val="single" w:color="C7CCD6" w:sz="2"/>
          <w:right w:val="single" w:color="C7CCD6" w:sz="2"/>
          <w:insideH w:val="none" w:color="FFFFFF" w:sz="0"/>
          <w:insideV w:val="none" w:color="FFFFFF" w:sz="0"/>
        </w:tblBorders>
      </w:tblPr>
      <w:tblGrid>
        <w:gridCol w:w="100"/>
      </w:tblGrid>
      <w:tr>
        <w:tc>
          <w:tcPr>
            <w:shd w:fill="F4F6F9" w:color="auto" w:val="clear"/>
            <w:tcMar>
              <w:top w:type="dxa" w:w="160"/>
              <w:left w:type="dxa" w:w="200"/>
              <w:bottom w:type="dxa" w:w="160"/>
              <w:right w:type="dxa" w:w="200"/>
            </w:tcMar>
          </w:tcPr>
          <w:p>
            <w:pPr>
              <w:spacing w:after="0" w:line="260"/>
            </w:pPr>
            <w:r>
              <w:rPr>
                <w:rFonts w:ascii="Consolas" w:cs="Consolas" w:eastAsia="Consolas" w:hAnsi="Consolas"/>
                <w:color w:val="1B2A4A"/>
                <w:sz w:val="17"/>
                <w:szCs w:val="17"/>
              </w:rPr>
              <w:t xml:space="preserve">Kans op tijd:  =COUNTIF(bereik,"&lt;="&amp;deadline)/COUNT(bereik)</w:t>
            </w:r>
          </w:p>
          <w:p>
            <w:pPr>
              <w:spacing w:after="0" w:line="260"/>
            </w:pPr>
            <w:r>
              <w:rPr>
                <w:rFonts w:ascii="Consolas" w:cs="Consolas" w:eastAsia="Consolas" w:hAnsi="Consolas"/>
                <w:color w:val="1B2A4A"/>
                <w:sz w:val="17"/>
                <w:szCs w:val="17"/>
              </w:rPr>
              <w:t xml:space="preserve">P10:           =PERCENTILE.INC(bereik,0.1)</w:t>
            </w:r>
          </w:p>
          <w:p>
            <w:pPr>
              <w:spacing w:after="0" w:line="260"/>
            </w:pPr>
            <w:r>
              <w:rPr>
                <w:rFonts w:ascii="Consolas" w:cs="Consolas" w:eastAsia="Consolas" w:hAnsi="Consolas"/>
                <w:color w:val="1B2A4A"/>
                <w:sz w:val="17"/>
                <w:szCs w:val="17"/>
              </w:rPr>
              <w:t xml:space="preserve">P50:           =PERCENTILE.INC(bereik,0.5)</w:t>
            </w:r>
          </w:p>
          <w:p>
            <w:pPr>
              <w:spacing w:after="0" w:line="260"/>
            </w:pPr>
            <w:r>
              <w:rPr>
                <w:rFonts w:ascii="Consolas" w:cs="Consolas" w:eastAsia="Consolas" w:hAnsi="Consolas"/>
                <w:color w:val="1B2A4A"/>
                <w:sz w:val="17"/>
                <w:szCs w:val="17"/>
              </w:rPr>
              <w:t xml:space="preserve">P90:           =PERCENTILE.INC(bereik,0.9)</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Een histogram van de programma_doorlooptijd-kolom (Excel: Invoegen → Grafiek → Histogram) geeft hetzelfde beeld als Figuur 15-2 in de reader. Omdat RAND() bij elke herberekening (F9) nieuwe getallen trekt, is het raadzaam de uitkomsten één keer te kopiëren en als waarden te plakken vóórdat u ze bespreekt — anders verschuiven de cijfers onder de bespreking zelf.</w:t>
      </w:r>
    </w:p>
    <w:p>
      <w:pPr>
        <w:pStyle w:val="Heading2"/>
        <w:spacing w:after="160" w:before="360"/>
      </w:pPr>
      <w:r>
        <w:rPr>
          <w:rFonts w:ascii="Calibri" w:cs="Calibri" w:eastAsia="Calibri" w:hAnsi="Calibri"/>
          <w:b/>
          <w:bCs/>
          <w:color w:val="2C5AA0"/>
          <w:sz w:val="26"/>
          <w:szCs w:val="26"/>
        </w:rPr>
        <w:t xml:space="preserve">3. Bow-tie-notatiekaart</w:t>
      </w:r>
    </w:p>
    <w:p>
      <w:pPr>
        <w:spacing w:after="180" w:line="300"/>
        <w:jc w:val="both"/>
      </w:pPr>
      <w:r>
        <w:rPr>
          <w:rFonts w:ascii="Calibri" w:cs="Calibri" w:eastAsia="Calibri" w:hAnsi="Calibri"/>
          <w:color w:val="1A1A1A"/>
          <w:sz w:val="21"/>
          <w:szCs w:val="21"/>
        </w:rPr>
        <w:t xml:space="preserve">Een toolneutrale referentiekaart voor deel 16 — bruikbaar in PowerPoint, Visio, draw.io, of met pen en papier. Geen software vereist; de notatie zelf is het instrument.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057"/>
        <w:gridCol w:w="3553"/>
        <w:gridCol w:w="3740"/>
      </w:tblGrid>
      <w:tr>
        <w:trPr>
          <w:tblHeader/>
        </w:trPr>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Element</w:t>
            </w:r>
          </w:p>
        </w:tc>
        <w:tc>
          <w:tcPr>
            <w:tcW w:type="pct" w:w="3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Vorm/kleur (indicatief)</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Betekenis</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Centrale gebeurtenis</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Cirkel of ellips, middenkleur (amber/oranje)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Het risico zelf, in het midden van het diagram</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Dreiging</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Rechthoek, linkerkolom</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Een mogelijke oorzaak die tot de centrale gebeurtenis kan leiden</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Preventieve barrière</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Klein, gevuld blok op de lijn tussen dreiging en centrale gebeurtenis</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Een maatregel die de dreiging moet tegenhouden vóórdat de centrale gebeurtenis zich voordoet</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Gevolg</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Rechthoek, rechterkolom</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Een mogelijk gevolg ná de centrale gebeurtenis</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Mitigerende barrière</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Klein, gevuld blok op de lijn tussen centrale gebeurtenis en gevolg</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Een maatregel die het gevolg moet beperken nádat de centrale gebeurtenis zich heeft voorgedaan</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Escalatiefactor</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Zeshoek of ruit, met een lijn die een barrière kruist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Een omstandigheid die zelf geen dreiging is, maar die één of meer barrières tegelijk kan uitschakelen (deel 16, §16.5)</w:t>
            </w:r>
          </w:p>
        </w:tc>
      </w:tr>
    </w:tbl>
    <w:p>
      <w:pPr>
        <w:spacing w:after="180" w:line="300"/>
        <w:jc w:val="both"/>
      </w:pPr>
      <w:r>
        <w:rPr>
          <w:rFonts w:ascii="Calibri" w:cs="Calibri" w:eastAsia="Calibri" w:hAnsi="Calibri"/>
          <w:b/>
          <w:bCs/>
          <w:color w:val="1B2A4A"/>
          <w:sz w:val="21"/>
          <w:szCs w:val="21"/>
        </w:rPr>
        <w:t xml:space="preserve">Vaste volgorde bij het tekenen</w:t>
      </w:r>
      <w:r>
        <w:rPr>
          <w:rFonts w:ascii="Calibri" w:cs="Calibri" w:eastAsia="Calibri" w:hAnsi="Calibri"/>
          <w:color w:val="1A1A1A"/>
          <w:sz w:val="21"/>
          <w:szCs w:val="21"/>
        </w:rPr>
        <w:t xml:space="preserve"> (deel 16, §16.2): eerst de centrale gebeurtenis vaststellen, dan de dreigingen inventariseren (links), dan per dreiging de preventieve barrière, dan de gevolgen (rechts), dan per gevolg de mitigerende barrière, en pas als laatste stap de escalatiefactoren — die vraag (‘wat zou meerdere van deze barrières tegelijk kunnen uitschakelen?’) heeft de volledige bow-tie nodig om zinvol gesteld te kunnen worden.</w:t>
      </w:r>
    </w:p>
    <w:p>
      <w:pPr>
        <w:spacing w:after="180" w:line="300"/>
        <w:jc w:val="both"/>
      </w:pPr>
      <w:r>
        <w:rPr>
          <w:rFonts w:ascii="Calibri" w:cs="Calibri" w:eastAsia="Calibri" w:hAnsi="Calibri"/>
          <w:b/>
          <w:bCs/>
          <w:color w:val="1B2A4A"/>
          <w:sz w:val="21"/>
          <w:szCs w:val="21"/>
        </w:rPr>
        <w:t xml:space="preserve">Bij elke barrière, twee losse vragen vastleggen</w:t>
      </w:r>
      <w:r>
        <w:rPr>
          <w:rFonts w:ascii="Calibri" w:cs="Calibri" w:eastAsia="Calibri" w:hAnsi="Calibri"/>
          <w:color w:val="1A1A1A"/>
          <w:sz w:val="21"/>
          <w:szCs w:val="21"/>
        </w:rPr>
        <w:t xml:space="preserve"> (deel 16, §16.3): de opzeteffectiviteit (is het ontwerp in theorie geschikt?) en de werkingseffectiviteit (functioneert het ook echt, nu — laatst getoetst wanneer?). Een eenvoudige aantekening bij elk barrière-blok — bijvoorbeeld ‘opzet: ja, werking: laatst getoetst [datum]’ — voorkomt dat een bow-tie een mooi plaatje wordt zonder de discipline uit Kernzin 10.</w:t>
      </w:r>
    </w:p>
    <w:p>
      <w:pPr>
        <w:pStyle w:val="Heading2"/>
        <w:spacing w:after="160" w:before="360"/>
      </w:pPr>
      <w:r>
        <w:rPr>
          <w:rFonts w:ascii="Calibri" w:cs="Calibri" w:eastAsia="Calibri" w:hAnsi="Calibri"/>
          <w:b/>
          <w:bCs/>
          <w:color w:val="2C5AA0"/>
          <w:sz w:val="26"/>
          <w:szCs w:val="26"/>
        </w:rPr>
        <w:t xml:space="preserve">4. Eramba installeren en toegang</w:t>
      </w:r>
    </w:p>
    <w:p>
      <w:pPr>
        <w:spacing w:after="180" w:line="300"/>
        <w:jc w:val="both"/>
      </w:pPr>
      <w:r>
        <w:rPr>
          <w:rFonts w:ascii="Calibri" w:cs="Calibri" w:eastAsia="Calibri" w:hAnsi="Calibri"/>
          <w:color w:val="1A1A1A"/>
          <w:sz w:val="21"/>
          <w:szCs w:val="21"/>
        </w:rPr>
        <w:t xml:space="preserve">Eramba is gratis, open-source GRC-software (Governance, Risk &amp; Compliance), uitgegeven als Community Edition (self-hosted, geen licentiesleutel nodig) en als betaalde Enterprise-variant (met extra functies zoals geavanceerde workflows en meertraps-goedkeuring).</w:t>
      </w:r>
    </w:p>
    <w:p>
      <w:pPr>
        <w:pStyle w:val="ListParagraph"/>
        <w:numPr>
          <w:ilvl w:val="0"/>
          <w:numId w:val="2"/>
        </w:numPr>
        <w:spacing w:after="100" w:line="280"/>
      </w:pPr>
      <w:r>
        <w:rPr>
          <w:rFonts w:ascii="Calibri" w:cs="Calibri" w:eastAsia="Calibri" w:hAnsi="Calibri"/>
          <w:color w:val="1A1A1A"/>
          <w:sz w:val="21"/>
          <w:szCs w:val="21"/>
        </w:rPr>
        <w:t xml:space="preserve">1. Voor kennismaking zonder eigen installatie: raadpleeg de openbare demo-omgeving op de Eramba-website.</w:t>
      </w:r>
    </w:p>
    <w:p>
      <w:pPr>
        <w:pStyle w:val="ListParagraph"/>
        <w:numPr>
          <w:ilvl w:val="0"/>
          <w:numId w:val="2"/>
        </w:numPr>
        <w:spacing w:after="100" w:line="280"/>
      </w:pPr>
      <w:r>
        <w:rPr>
          <w:rFonts w:ascii="Calibri" w:cs="Calibri" w:eastAsia="Calibri" w:hAnsi="Calibri"/>
          <w:color w:val="1A1A1A"/>
          <w:sz w:val="21"/>
          <w:szCs w:val="21"/>
        </w:rPr>
        <w:t xml:space="preserve">2. Voor een eigen (les- of proef)omgeving: installeer de Community Edition via Docker op een eigen server of lokale machine — geen registratie vereist.</w:t>
      </w:r>
    </w:p>
    <w:p>
      <w:pPr>
        <w:pStyle w:val="ListParagraph"/>
        <w:numPr>
          <w:ilvl w:val="0"/>
          <w:numId w:val="2"/>
        </w:numPr>
        <w:spacing w:after="100" w:line="280"/>
      </w:pPr>
      <w:r>
        <w:rPr>
          <w:rFonts w:ascii="Calibri" w:cs="Calibri" w:eastAsia="Calibri" w:hAnsi="Calibri"/>
          <w:color w:val="1A1A1A"/>
          <w:sz w:val="21"/>
          <w:szCs w:val="21"/>
        </w:rPr>
        <w:t xml:space="preserve">3. Bij eerste aanmelding: maak een beheerdersaccount aan; deze bijlage gebruikt de Engelstalige menunamen (Eramba's Nederlandse vertaling is niet compleet in de Community Edition), met de Nederlandse vertaling erbij.</w:t>
      </w:r>
    </w:p>
    <w:p>
      <w:pPr>
        <w:pStyle w:val="ListParagraph"/>
        <w:numPr>
          <w:ilvl w:val="0"/>
          <w:numId w:val="2"/>
        </w:numPr>
        <w:spacing w:after="100" w:line="280"/>
      </w:pPr>
      <w:r>
        <w:rPr>
          <w:rFonts w:ascii="Calibri" w:cs="Calibri" w:eastAsia="Calibri" w:hAnsi="Calibri"/>
          <w:color w:val="1A1A1A"/>
          <w:sz w:val="21"/>
          <w:szCs w:val="21"/>
        </w:rPr>
        <w:t xml:space="preserve">4. Controleer via Administration → System Info de geïnstalleerde versie.</w:t>
      </w:r>
    </w:p>
    <w:p>
      <w:pPr>
        <w:pStyle w:val="Heading2"/>
        <w:spacing w:after="160" w:before="360"/>
      </w:pPr>
      <w:r>
        <w:rPr>
          <w:rFonts w:ascii="Calibri" w:cs="Calibri" w:eastAsia="Calibri" w:hAnsi="Calibri"/>
          <w:b/>
          <w:bCs/>
          <w:color w:val="2C5AA0"/>
          <w:sz w:val="26"/>
          <w:szCs w:val="26"/>
        </w:rPr>
        <w:t xml:space="preserve">5. Cursusbegrip → Eramba-menu</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2805"/>
        <w:gridCol w:w="3740"/>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Cursusbegrip (deel)</w:t>
            </w:r>
          </w:p>
        </w:tc>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Eramba-onderdeel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Waar te vinden</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Risicoregister (deel 7, niveau 1; deel 13, niveau 2)</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Risk Register</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Risk Management → Risks → nieuw risico aanmaken</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Risicozin (doordat/kan/waardoor, deel 1)</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Risk description-veld</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Bij aanmaken van een risico: vrij tekstveld ‘Description’ — de volledige risicozin komt hier, niet alleen in de titel</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Kans/impact-score (deel 5)</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Likelihood / Impact-velden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Risk-formulier, sectie ‘Assessment’ — standaard een 1-5-schaal per as, aan te passen via Administration → Risk Management → Impact/Likelihood scales</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Inherent versus residueel risico (deel 5-6)</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Inherent Risk / Residual Risk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Automatisch berekend zodra beheersmaatregelen (Controls) zijn gekoppeld en op werking beoordeeld</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Respons/beheersmaatregel (deel 6)</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Control</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Compliance → Controls → nieuwe control aanmaken, koppelen aan het risico via het tabblad ‘Risks’ op de control</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Risico-eigenaar en actiehouder (deel 7)</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Risk Owner / Control Owner-velden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Apart in te vullen op respectievelijk het risico- en het control-formulier</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Tolerantie/escalatiedrempel (deel 8)</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Risk Appetite / Tolerance thresholds</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Administration → Risk Management → Risk Appetite — bepaalt vanaf welke score een risico als ‘boven tolerantie’ wordt gemarkeerd</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KRI (deel 8)</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Key Risk Indicator (Indicators-module)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Risk Management → Indicators → nieuwe indicator koppelen aan een risico, met drempelwaarde en meetfrequentie</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Opzet- versus werkingseffectiviteit (deel 16)</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Control Design / Control Effectiveness Test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Control-formulier, tabblad ‘Tests’ — testresultaat vastleggen (steekproef, walkthrough) met datum en uitkomst</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Bow-tie-dreigingen en -gevolgen (deel 16)</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Geen native weergave; modelleren als gekoppelde risico's</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Eramba kent geen ingebouwd bow-tie-diagram — teken het diagram zelf met de notatiekaart uit §3</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Derdepartijregister (DORA-pijler 4, deel 18/23)</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Third Party / Vendor Management-module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Third Party Management → Vendors → nieuwe leverancier met kriticiteitsbeoordeling</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ORSA/ERB-cyclus (deel 27)</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Assessments-module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Risk Management → Assessments → periodieke risicobeoordelingsronde plannen, met vaste vragenlijst en deadline</w:t>
            </w:r>
          </w:p>
        </w:tc>
      </w:tr>
    </w:tbl>
    <w:p>
      <w:pPr>
        <w:pStyle w:val="Heading2"/>
        <w:spacing w:after="160" w:before="360"/>
      </w:pPr>
      <w:r>
        <w:rPr>
          <w:rFonts w:ascii="Calibri" w:cs="Calibri" w:eastAsia="Calibri" w:hAnsi="Calibri"/>
          <w:b/>
          <w:bCs/>
          <w:color w:val="2C5AA0"/>
          <w:sz w:val="26"/>
          <w:szCs w:val="26"/>
        </w:rPr>
        <w:t xml:space="preserve">6. Kernwerkstromen in Eramba</w:t>
      </w:r>
    </w:p>
    <w:p>
      <w:pPr>
        <w:spacing w:after="180" w:line="300"/>
        <w:jc w:val="both"/>
      </w:pPr>
      <w:r>
        <w:rPr>
          <w:rFonts w:ascii="Calibri" w:cs="Calibri" w:eastAsia="Calibri" w:hAnsi="Calibri"/>
          <w:b/>
          <w:bCs/>
          <w:color w:val="1B2A4A"/>
          <w:sz w:val="21"/>
          <w:szCs w:val="21"/>
        </w:rPr>
        <w:t xml:space="preserve">Een risico vastleggen volgens de risicozin.</w:t>
      </w:r>
      <w:r>
        <w:rPr>
          <w:rFonts w:ascii="Calibri" w:cs="Calibri" w:eastAsia="Calibri" w:hAnsi="Calibri"/>
          <w:color w:val="1A1A1A"/>
          <w:sz w:val="21"/>
          <w:szCs w:val="21"/>
        </w:rPr>
        <w:t xml:space="preserve"> Maak een nieuw risico aan (Risk Management → Risks → Add). Zet de volledige risicozin (doordat/kan/waardoor) in het Description-veld, niet alleen een trefwoord in de titel — de titel is voor herkenbaarheid in een lijst, de risicozin is waar de precisie zit (deel 1, §1.6). Vul Likelihood en Impact in volgens de vooraf vastgestelde schaal (deel 5) — Eramba berekent de score automatisch.</w:t>
      </w:r>
    </w:p>
    <w:p>
      <w:pPr>
        <w:spacing w:after="180" w:line="300"/>
        <w:jc w:val="both"/>
      </w:pPr>
      <w:r>
        <w:rPr>
          <w:rFonts w:ascii="Calibri" w:cs="Calibri" w:eastAsia="Calibri" w:hAnsi="Calibri"/>
          <w:b/>
          <w:bCs/>
          <w:color w:val="1B2A4A"/>
          <w:sz w:val="21"/>
          <w:szCs w:val="21"/>
        </w:rPr>
        <w:t xml:space="preserve">Een beheersmaatregel koppelen en op werking toetsen.</w:t>
      </w:r>
      <w:r>
        <w:rPr>
          <w:rFonts w:ascii="Calibri" w:cs="Calibri" w:eastAsia="Calibri" w:hAnsi="Calibri"/>
          <w:color w:val="1A1A1A"/>
          <w:sz w:val="21"/>
          <w:szCs w:val="21"/>
        </w:rPr>
        <w:t xml:space="preserve"> Maak een Control aan (Compliance → Controls → Add), koppel deze aan het risico via het tabblad ‘Risks’ op de control. Leg de opzet vast in de omschrijving; leg de werking apart vast via het tabblad ‘Tests’ — een testdatum, een testmethode (steekproef/walkthrough/doorlopende monitoring, deel 16 §16.4) en een uitkomst. Zonder een ingevulde test blijft de residuele score in Eramba gelijk aan de inherente score — de software dwingt hiermee zelf Kernzin 10 af.</w:t>
      </w:r>
    </w:p>
    <w:p>
      <w:pPr>
        <w:spacing w:after="180" w:line="300"/>
        <w:jc w:val="both"/>
      </w:pPr>
      <w:r>
        <w:rPr>
          <w:rFonts w:ascii="Calibri" w:cs="Calibri" w:eastAsia="Calibri" w:hAnsi="Calibri"/>
          <w:b/>
          <w:bCs/>
          <w:color w:val="1B2A4A"/>
          <w:sz w:val="21"/>
          <w:szCs w:val="21"/>
        </w:rPr>
        <w:t xml:space="preserve">Een KRI instellen.</w:t>
      </w:r>
      <w:r>
        <w:rPr>
          <w:rFonts w:ascii="Calibri" w:cs="Calibri" w:eastAsia="Calibri" w:hAnsi="Calibri"/>
          <w:color w:val="1A1A1A"/>
          <w:sz w:val="21"/>
          <w:szCs w:val="21"/>
        </w:rPr>
        <w:t xml:space="preserve"> Voeg een Indicator toe (Risk Management → Indicators → Add), koppel aan het risico, en stel een drempelwaarde in die correspondeert met de tolerantiegrens uit deel 8. Eramba toont overschrijdingen op het dashboard, het digitale equivalent van de escalatieladder.</w:t>
      </w:r>
    </w:p>
    <w:p>
      <w:pPr>
        <w:spacing w:after="180" w:line="300"/>
        <w:jc w:val="both"/>
      </w:pPr>
      <w:r>
        <w:rPr>
          <w:rFonts w:ascii="Calibri" w:cs="Calibri" w:eastAsia="Calibri" w:hAnsi="Calibri"/>
          <w:b/>
          <w:bCs/>
          <w:color w:val="1B2A4A"/>
          <w:sz w:val="21"/>
          <w:szCs w:val="21"/>
        </w:rPr>
        <w:t xml:space="preserve">Een ORSA/ERB-cyclus plannen.</w:t>
      </w:r>
      <w:r>
        <w:rPr>
          <w:rFonts w:ascii="Calibri" w:cs="Calibri" w:eastAsia="Calibri" w:hAnsi="Calibri"/>
          <w:color w:val="1A1A1A"/>
          <w:sz w:val="21"/>
          <w:szCs w:val="21"/>
        </w:rPr>
        <w:t xml:space="preserve"> Gebruik de Assessments-module om een periodieke beoordelingsronde te plannen: een vaste set vragen, uitgezet naar de verantwoordelijke functiehouders, met een deadline en een automatische herinnering — bruikbaar als praktische invulling van de periodieke zelfbeoordeling uit deel 23 en 27.</w:t>
      </w:r>
    </w:p>
    <w:p>
      <w:pPr>
        <w:pStyle w:val="Heading2"/>
        <w:spacing w:after="160" w:before="360"/>
      </w:pPr>
      <w:r>
        <w:rPr>
          <w:rFonts w:ascii="Calibri" w:cs="Calibri" w:eastAsia="Calibri" w:hAnsi="Calibri"/>
          <w:b/>
          <w:bCs/>
          <w:color w:val="2C5AA0"/>
          <w:sz w:val="26"/>
          <w:szCs w:val="26"/>
        </w:rPr>
        <w:t xml:space="preserve">7. Wat Eramba niet doet</w:t>
      </w:r>
    </w:p>
    <w:p>
      <w:pPr>
        <w:spacing w:after="180" w:line="300"/>
        <w:jc w:val="both"/>
      </w:pPr>
      <w:r>
        <w:rPr>
          <w:rFonts w:ascii="Calibri" w:cs="Calibri" w:eastAsia="Calibri" w:hAnsi="Calibri"/>
          <w:color w:val="1A1A1A"/>
          <w:sz w:val="21"/>
          <w:szCs w:val="21"/>
        </w:rPr>
        <w:t xml:space="preserve">Eramba is een risico- en compliance-registratietool, geen kwantitatief rekenmodel en geen vervanging voor de Monte Carlo- of scenario-analyses uit deel 14-15 en 27 — die blijven in Python, Excel, of gespecialiseerde actuariële software plaatsvinden; de uitkomst (een percentage, een P90-waarde) wordt vervolgens als vrij veld of bijlage bij het risico in Eramba vastgelegd. Eramba tekent ook geen bow-tie-diagrammen: de dreigingen, barrières en gevolgen uit deel 16 worden ofwel als losse, gekoppelde risico's gemodelleerd, ofwel — praktischer voor de meeste teams — als een los diagram getekend volgens de notatiekaart in §3 en als bijlage aan het Eramba-risico gehangen. Voor de wettelijke geschiktheidsdossiers uit deel 23 (het self assessment van kennis, werkervaring en competenties) biedt Eramba geen speciale module; dat blijft een apart, org-specifiek document.</w:t>
      </w:r>
    </w:p>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i/>
          <w:iCs/>
          <w:color w:val="1A1A1A"/>
          <w:sz w:val="21"/>
          <w:szCs w:val="21"/>
        </w:rPr>
        <w:t xml:space="preserve">Deze bijlage staat buiten de nummering van de dertig delen. De Python- en Excel-secties (§1-2) en de bow-tie-notatiekaart (§3) zijn volledig toolneutraal; alleen §4-7 zijn specifiek voor Eramba Community Edition en worden bijgewerkt naar de laatste stabiele versie op het moment van cursusonderhoud.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2026-08-17T07:56:11.542Z</dcterms:created>
  <dcterms:modified xsi:type="dcterms:W3CDTF">2026-08-17T07:56:11.544Z</dcterms:modified>
</cp:coreProperties>
</file>

<file path=docProps/custom.xml><?xml version="1.0" encoding="utf-8"?>
<Properties xmlns="http://schemas.openxmlformats.org/officeDocument/2006/custom-properties" xmlns:vt="http://schemas.openxmlformats.org/officeDocument/2006/docPropsVTypes"/>
</file>