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15 — UI op schaal: design system, thema's, herbruikbare blocks</w:t>
      </w:r>
    </w:p>
    <w:p>
      <w:pPr>
        <w:pStyle w:val="Heading2"/>
      </w:pPr>
      <w:r>
        <w:rPr>
          <w:color w:val="14213D"/>
        </w:rPr>
        <w:t>Niveau 2 · Vakbekwaam · OutSystems (O11 &amp; ODC) — Twee dagdelen</w:t>
      </w:r>
    </w:p>
    <w:p>
      <w:pPr>
        <w:spacing w:before="80" w:after="80"/>
        <w:pBdr>
          <w:bottom w:val="single" w:sz="6" w:color="E9A13B"/>
        </w:pBdr>
      </w:pPr>
    </w:p>
    <w:p>
      <w:pPr>
        <w:pStyle w:val="Heading2"/>
      </w:pPr>
      <w:r>
        <w:rPr>
          <w:color w:val="14213D"/>
        </w:rPr>
        <w:t>Dagdeel A — Design system en thema's</w:t>
      </w:r>
    </w:p>
    <w:p>
      <w:pPr>
        <w:pStyle w:val="Heading3"/>
      </w:pPr>
      <w:r>
        <w:rPr>
          <w:color w:val="2563A8"/>
        </w:rPr>
        <w:t xml:space="preserve">15.1 Waarom een los </w:t>
      </w:r>
      <w:r>
        <w:rPr>
          <w:rFonts w:ascii="Consolas" w:hAnsi="Consolas"/>
          <w:color w:val="2563A8"/>
        </w:rPr>
        <w:t>StatusBadge</w:t>
      </w:r>
      <w:r>
        <w:rPr>
          <w:color w:val="2563A8"/>
        </w:rPr>
        <w:t>-block niet meer volstaat</w:t>
      </w:r>
    </w:p>
    <w:p>
      <w:r>
        <w:t>In niveau 1 volstond één herbruikbaar block. WGP 2.0 en de veertien satellieten samen hebben tientallen vergelijkbare interface-elementen nodig — knoppen, labels, formuliervelden, meldingen — die er overal consistent uit moeten zien. Zonder een systematische aanpak ontstaat wat in de praktijk vaak "block-wildgroei" heet: tien net iets verschillende varianten van hetzelfde element, gebouwd door verschillende mensen op verschillende momenten.</w:t>
      </w:r>
    </w:p>
    <w:p>
      <w:pPr>
        <w:pStyle w:val="Heading3"/>
      </w:pPr>
      <w:r>
        <w:rPr>
          <w:color w:val="2563A8"/>
        </w:rPr>
        <w:t>15.2 Het design system: stijl als losstaande laag</w:t>
      </w:r>
    </w:p>
    <w:p>
      <w:r>
        <w:t xml:space="preserve">Een </w:t>
      </w:r>
      <w:r>
        <w:rPr>
          <w:b/>
        </w:rPr>
        <w:t>design system</w:t>
      </w:r>
      <w:r>
        <w:t xml:space="preserve"> in OutSystems-termen is een gestructureerde verzameling van: een </w:t>
      </w:r>
      <w:r>
        <w:rPr>
          <w:b/>
        </w:rPr>
        <w:t>thema</w:t>
      </w:r>
      <w:r>
        <w:t xml:space="preserve"> (kleuren, typografie, spacing als herbruikbare stijldefinities) en een bibliotheek van </w:t>
      </w:r>
      <w:r>
        <w:rPr>
          <w:b/>
        </w:rPr>
        <w:t>generieke blocks</w:t>
      </w:r>
      <w:r>
        <w:t xml:space="preserve"> (knoppen, kaarten, formuliervelden) die dat thema toepassen. Voor Meridiaan bouw je in dit dagdeel </w:t>
      </w:r>
      <w:r>
        <w:rPr>
          <w:rFonts w:ascii="Consolas" w:hAnsi="Consolas"/>
        </w:rPr>
        <w:t>MeridiaanDesignSystem</w:t>
      </w:r>
      <w:r>
        <w:t xml:space="preserve"> als eigen Foundation-laag-module (deel 11): een centrale plek waar visuele consistentie wordt gedefinieerd, los van specifieke bedrijfslogica.</w:t>
      </w:r>
    </w:p>
    <w:p>
      <w:r>
        <w:t>Het onderscheid met de Core-library uit deel 12 is functioneel: Core bevat bedrijfslogica en -data, het design system bevat uitsluitend styling en generieke interface-bouwstenen. Beide zijn libraries, maar met een andere laag en een ander doel.</w:t>
      </w:r>
    </w:p>
    <w:p>
      <w:pPr>
        <w:jc w:val="center"/>
      </w:pPr>
      <w:r>
        <w:drawing>
          <wp:inline xmlns:a="http://schemas.openxmlformats.org/drawingml/2006/main" xmlns:pic="http://schemas.openxmlformats.org/drawingml/2006/picture">
            <wp:extent cx="5580000" cy="2869714"/>
            <wp:docPr id="1" name="Picture 1"/>
            <wp:cNvGraphicFramePr>
              <a:graphicFrameLocks noChangeAspect="1"/>
            </wp:cNvGraphicFramePr>
            <a:graphic>
              <a:graphicData uri="http://schemas.openxmlformats.org/drawingml/2006/picture">
                <pic:pic>
                  <pic:nvPicPr>
                    <pic:cNvPr id="0" name="figuur-15-1.png"/>
                    <pic:cNvPicPr/>
                  </pic:nvPicPr>
                  <pic:blipFill>
                    <a:blip r:embed="rId9"/>
                    <a:stretch>
                      <a:fillRect/>
                    </a:stretch>
                  </pic:blipFill>
                  <pic:spPr>
                    <a:xfrm>
                      <a:off x="0" y="0"/>
                      <a:ext cx="5580000" cy="2869714"/>
                    </a:xfrm>
                    <a:prstGeom prst="rect"/>
                  </pic:spPr>
                </pic:pic>
              </a:graphicData>
            </a:graphic>
          </wp:inline>
        </w:drawing>
      </w:r>
    </w:p>
    <w:p>
      <w:pPr>
        <w:jc w:val="center"/>
      </w:pPr>
      <w:r>
        <w:rPr>
          <w:i/>
          <w:color w:val="55606F"/>
          <w:sz w:val="18"/>
        </w:rPr>
        <w:t>Figuur 15-1 — MeridiaanDesignSystem naast MeridiaanMutatiesCore, beide Foundation-laag</w:t>
      </w:r>
    </w:p>
    <w:p>
      <w:pPr>
        <w:pStyle w:val="Heading3"/>
      </w:pPr>
      <w:r>
        <w:rPr>
          <w:color w:val="2563A8"/>
        </w:rPr>
        <w:t>15.3 Thema's toepassen over modulegrenzen</w:t>
      </w:r>
    </w:p>
    <w:p>
      <w:r>
        <w:t xml:space="preserve">Zodra </w:t>
      </w:r>
      <w:r>
        <w:rPr>
          <w:rFonts w:ascii="Consolas" w:hAnsi="Consolas"/>
        </w:rPr>
        <w:t>MeridiaanDesignSystem</w:t>
      </w:r>
      <w:r>
        <w:t xml:space="preserve"> bestaat, passen zowel WGP 2.0 als (bij een toekomstige doorontwikkeling) de O11-satellieten hetzelfde thema toe. Een huisstijlwijziging — bijvoorbeeld een nieuwe primaire kleur — wordt dan één wijziging in het design system, in plaats van een los-van-elkaar uit te voeren aanpassing in vijftien verschillende modules.</w:t>
      </w:r>
    </w:p>
    <w:p>
      <w:r>
        <w:rPr>
          <w:b/>
        </w:rPr>
        <w:t>Spoorsplitsing:</w:t>
      </w:r>
      <w:r>
        <w:t xml:space="preserve"> in O11 pas je een thema toe via een Theme-module die andere modules referenceren; in ODC verloopt themabeheer via een vergelijkbaar, maar dieper in de workspace geïntegreerd mechanisme. Beide platformen ondersteunen het concept "één centrale stijl, door meerdere modules toegepast" — de uitvoering verschilt in tooling, niet in principe.</w:t>
      </w:r>
    </w:p>
    <w:p>
      <w:pPr>
        <w:spacing w:before="80" w:after="80"/>
        <w:pBdr>
          <w:bottom w:val="single" w:sz="6" w:color="E9A13B"/>
        </w:pBdr>
      </w:pPr>
    </w:p>
    <w:p>
      <w:pPr>
        <w:pStyle w:val="Heading2"/>
      </w:pPr>
      <w:r>
        <w:rPr>
          <w:color w:val="14213D"/>
        </w:rPr>
        <w:t>Dagdeel B — Herbruikbare blocks op schaal</w:t>
      </w:r>
    </w:p>
    <w:p>
      <w:pPr>
        <w:pStyle w:val="Heading3"/>
      </w:pPr>
      <w:r>
        <w:rPr>
          <w:color w:val="2563A8"/>
        </w:rPr>
        <w:t>15.4 Van block naar bibliotheek van blocks</w:t>
      </w:r>
    </w:p>
    <w:p>
      <w:r>
        <w:t xml:space="preserve">Met het thema als basis, bouw je in dagdeel B een set generieke blocks: </w:t>
      </w:r>
      <w:r>
        <w:rPr>
          <w:rFonts w:ascii="Consolas" w:hAnsi="Consolas"/>
        </w:rPr>
        <w:t>KnopPrimair</w:t>
      </w:r>
      <w:r>
        <w:t xml:space="preserve">, </w:t>
      </w:r>
      <w:r>
        <w:rPr>
          <w:rFonts w:ascii="Consolas" w:hAnsi="Consolas"/>
        </w:rPr>
        <w:t>KnopSecundair</w:t>
      </w:r>
      <w:r>
        <w:t xml:space="preserve">, </w:t>
      </w:r>
      <w:r>
        <w:rPr>
          <w:rFonts w:ascii="Consolas" w:hAnsi="Consolas"/>
        </w:rPr>
        <w:t>FormulierVeld</w:t>
      </w:r>
      <w:r>
        <w:t xml:space="preserve">, </w:t>
      </w:r>
      <w:r>
        <w:rPr>
          <w:rFonts w:ascii="Consolas" w:hAnsi="Consolas"/>
        </w:rPr>
        <w:t>MeldingBanner</w:t>
      </w:r>
      <w:r>
        <w:t>. Elk block accepteert parameters (tekst, status, actie) zodat het herbruikbaar is over verschillende contexten heen, zonder dat elke gebruikende module de styling zelf hoeft te implementeren.</w:t>
      </w:r>
    </w:p>
    <w:p>
      <w:r>
        <w:t xml:space="preserve">De discipline hier is: een block in het design system bevat </w:t>
      </w:r>
      <w:r>
        <w:rPr>
          <w:b/>
        </w:rPr>
        <w:t>geen bedrijfslogica</w:t>
      </w:r>
      <w:r>
        <w:t xml:space="preserve">. </w:t>
      </w:r>
      <w:r>
        <w:rPr>
          <w:rFonts w:ascii="Consolas" w:hAnsi="Consolas"/>
        </w:rPr>
        <w:t>KnopPrimair</w:t>
      </w:r>
      <w:r>
        <w:t xml:space="preserve"> weet niets over Verzuimmeldingen of WGP 2.0 — hij ontvangt een tekst en een actie als parameter, en voert die actie uit. Zodra een block bedrijfsspecifieke kennis begint te bevatten, hoort hij niet meer in het design system maar in de betreffende End-User-module.</w:t>
      </w:r>
    </w:p>
    <w:p>
      <w:pPr>
        <w:pStyle w:val="Heading3"/>
      </w:pPr>
      <w:r>
        <w:rPr>
          <w:color w:val="2563A8"/>
        </w:rPr>
        <w:t>15.5 Versiebeheer van het design system</w:t>
      </w:r>
    </w:p>
    <w:p>
      <w:r>
        <w:t xml:space="preserve">Een wijziging aan </w:t>
      </w:r>
      <w:r>
        <w:rPr>
          <w:rFonts w:ascii="Consolas" w:hAnsi="Consolas"/>
        </w:rPr>
        <w:t>MeridiaanDesignSystem</w:t>
      </w:r>
      <w:r>
        <w:t xml:space="preserve"> raakt in potentie elke module die ervan afhangt. Dit is een schaalversie van het probleem uit deel 13 (gedeeld datamodel): je hebt een expliciete afweging nodig tussen direct doorvoeren (alle modules krijgen de wijziging bij hun volgende publicatie) en gecontroleerd uitrollen (modules kiezen zelf wanneer ze naar een nieuwe versie van het design system overstappen). Voor een organisatiebrede huisstijlwijziging bij Meridiaan is gecontroleerde uitrol vaak de veiligere keuze — een grote visuele wijziging die overal tegelijk en ongepland verschijnt, is zelden wenselijk.</w:t>
      </w:r>
    </w:p>
    <w:p>
      <w:pPr>
        <w:spacing w:before="80" w:after="80"/>
        <w:pBdr>
          <w:bottom w:val="single" w:sz="6" w:color="E9A13B"/>
        </w:pBdr>
      </w:pPr>
    </w:p>
    <w:p>
      <w:pPr>
        <w:pStyle w:val="Heading2"/>
      </w:pPr>
      <w:r>
        <w:rPr>
          <w:color w:val="14213D"/>
        </w:rPr>
        <w:t>Kernpunten</w:t>
      </w:r>
    </w:p>
    <w:p>
      <w:pPr>
        <w:pStyle w:val="ListBullet"/>
      </w:pPr>
      <w:r>
        <w:t>Een design system scheidt stijl (thema, generieke blocks) van bedrijfslogica (Core) — twee verschillende soorten libraries in de Foundation-laag</w:t>
      </w:r>
    </w:p>
    <w:p>
      <w:pPr>
        <w:pStyle w:val="ListBullet"/>
      </w:pPr>
      <w:r>
        <w:t>Generieke blocks bevatten geen bedrijfsspecifieke kennis; zodra dat gebeurt, horen ze in een End-User-module</w:t>
      </w:r>
    </w:p>
    <w:p>
      <w:pPr>
        <w:pStyle w:val="ListBullet"/>
      </w:pPr>
      <w:r>
        <w:t>Eén centrale stijlwijziging vervangt losse aanpassingen in elke individuele module</w:t>
      </w:r>
    </w:p>
    <w:p>
      <w:pPr>
        <w:pStyle w:val="ListBullet"/>
      </w:pPr>
      <w:r>
        <w:t>Wijzigingen aan een gedeeld design system vragen dezelfde gecoördineerde afweging als een gedeeld datamodel — direct doorvoeren versus gecontroleerd uitrollen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