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21 — Capstone: WGP 2.0 als landschapsontwerp</w:t>
      </w:r>
    </w:p>
    <w:p>
      <w:pPr>
        <w:pStyle w:val="Heading2"/>
      </w:pPr>
      <w:r>
        <w:rPr>
          <w:color w:val="14213D"/>
        </w:rPr>
        <w:t>Niveau 2 · Vakbekwaam · OutSystems (O11 &amp; ODC)</w:t>
      </w:r>
    </w:p>
    <w:p>
      <w:pPr>
        <w:spacing w:before="80" w:after="80"/>
        <w:pBdr>
          <w:bottom w:val="single" w:sz="6" w:color="E9A13B"/>
        </w:pBdr>
      </w:pPr>
    </w:p>
    <w:p>
      <w:pPr>
        <w:pStyle w:val="Heading2"/>
      </w:pPr>
      <w:r>
        <w:rPr>
          <w:color w:val="14213D"/>
        </w:rPr>
        <w:t>21.1 Waar niveau 2 je heeft gebracht</w:t>
      </w:r>
    </w:p>
    <w:p>
      <w:r>
        <w:t>Niveau 1 leerde je één app bouwen, tweemaal, in twee sporen. Niveau 2 leerde je een landschap ontwerpen: modules met eigenaarschap (deel 11-13), performant en veilig op schaal (deel 14, 17), verbonden met interne en externe systemen (deel 16), asynchroon waar nodig (deel 18), beheerst uitgerold (deel 19), en bewust beheerd tegen technische schuld (deel 20). Dit slotdeel brengt dat samen in één landschapsontwerp: WGP 2.0, coëxisterend met de veertien O11-satellieten.</w:t>
      </w:r>
    </w:p>
    <w:p>
      <w:pPr>
        <w:jc w:val="center"/>
      </w:pPr>
      <w:r>
        <w:drawing>
          <wp:inline xmlns:a="http://schemas.openxmlformats.org/drawingml/2006/main" xmlns:pic="http://schemas.openxmlformats.org/drawingml/2006/picture">
            <wp:extent cx="5580000" cy="3746571"/>
            <wp:docPr id="1" name="Picture 1"/>
            <wp:cNvGraphicFramePr>
              <a:graphicFrameLocks noChangeAspect="1"/>
            </wp:cNvGraphicFramePr>
            <a:graphic>
              <a:graphicData uri="http://schemas.openxmlformats.org/drawingml/2006/picture">
                <pic:pic>
                  <pic:nvPicPr>
                    <pic:cNvPr id="0" name="figuur-21-1.png"/>
                    <pic:cNvPicPr/>
                  </pic:nvPicPr>
                  <pic:blipFill>
                    <a:blip r:embed="rId9"/>
                    <a:stretch>
                      <a:fillRect/>
                    </a:stretch>
                  </pic:blipFill>
                  <pic:spPr>
                    <a:xfrm>
                      <a:off x="0" y="0"/>
                      <a:ext cx="5580000" cy="3746571"/>
                    </a:xfrm>
                    <a:prstGeom prst="rect"/>
                  </pic:spPr>
                </pic:pic>
              </a:graphicData>
            </a:graphic>
          </wp:inline>
        </w:drawing>
      </w:r>
    </w:p>
    <w:p>
      <w:pPr>
        <w:jc w:val="center"/>
      </w:pPr>
      <w:r>
        <w:rPr>
          <w:i/>
          <w:color w:val="55606F"/>
          <w:sz w:val="18"/>
        </w:rPr>
        <w:t>Figuur 21-1 — Volledig WGP 2.0-landschap met alle lagen en modules uit deel 11-20</w:t>
      </w:r>
    </w:p>
    <w:p>
      <w:pPr>
        <w:spacing w:before="80" w:after="80"/>
        <w:pBdr>
          <w:bottom w:val="single" w:sz="6" w:color="E9A13B"/>
        </w:pBdr>
      </w:pPr>
    </w:p>
    <w:p>
      <w:pPr>
        <w:pStyle w:val="Heading2"/>
      </w:pPr>
      <w:r>
        <w:rPr>
          <w:color w:val="14213D"/>
        </w:rPr>
        <w:t>21.2 De opdracht</w:t>
      </w:r>
    </w:p>
    <w:p>
      <w:r>
        <w:t>Lever een samenhangend landschapsontwerp voor WGP 2.0 op, bestaande uit:</w:t>
      </w:r>
    </w:p>
    <w:p>
      <w:pPr>
        <w:pStyle w:val="ListBullet"/>
      </w:pPr>
      <w:r>
        <w:t>Een bijgewerkte Architecture Canvas met alle modules uit deel 11-20, correct gelaagd</w:t>
      </w:r>
    </w:p>
    <w:p>
      <w:pPr>
        <w:pStyle w:val="ListBullet"/>
      </w:pPr>
      <w:r>
        <w:rPr>
          <w:rFonts w:ascii="Consolas" w:hAnsi="Consolas"/>
        </w:rPr>
        <w:t>MeridiaanMutatiesCore</w:t>
      </w:r>
      <w:r>
        <w:t xml:space="preserve"> en </w:t>
      </w:r>
      <w:r>
        <w:rPr>
          <w:rFonts w:ascii="Consolas" w:hAnsi="Consolas"/>
        </w:rPr>
        <w:t>MeridiaanDesignSystem</w:t>
      </w:r>
      <w:r>
        <w:t xml:space="preserve"> als werkende, gedeelde libraries, gebruikt door zowel WGP 2.0 als Verzuimmeldingen</w:t>
      </w:r>
    </w:p>
    <w:p>
      <w:pPr>
        <w:pStyle w:val="ListBullet"/>
      </w:pPr>
      <w:r>
        <w:t>Een expliciete coëxistentiestrategie: welke functionaliteit blijft in O11, welke komt in ODC, en hoe communiceren beide met elkaar (deel 16)</w:t>
      </w:r>
    </w:p>
    <w:p>
      <w:pPr>
        <w:pStyle w:val="ListBullet"/>
      </w:pPr>
      <w:r>
        <w:t>Een beveiligings- en auditopzet die aantoonbaar aan de AVG-eisen uit deel 17 voldoet</w:t>
      </w:r>
    </w:p>
    <w:p>
      <w:pPr>
        <w:pStyle w:val="ListBullet"/>
      </w:pPr>
      <w:r>
        <w:t>Een lifecycle-opzet (deel 19) met minstens één gedocumenteerd rollback-scenario</w:t>
      </w:r>
    </w:p>
    <w:p>
      <w:pPr>
        <w:pStyle w:val="ListBullet"/>
      </w:pPr>
      <w:r>
        <w:t>Een technische-schuld-rapportage (deel 20) met prioritering</w:t>
      </w:r>
    </w:p>
    <w:p>
      <w:pPr>
        <w:spacing w:before="80" w:after="80"/>
        <w:pBdr>
          <w:bottom w:val="single" w:sz="6" w:color="E9A13B"/>
        </w:pBdr>
      </w:pPr>
    </w:p>
    <w:p>
      <w:pPr>
        <w:pStyle w:val="Heading2"/>
      </w:pPr>
      <w:r>
        <w:rPr>
          <w:color w:val="14213D"/>
        </w:rPr>
        <w:t>21.3 De verdediging: vier rollen</w:t>
      </w:r>
    </w:p>
    <w:p>
      <w:r>
        <w:t>Naast de drie rollen uit de niveau 1-capstone (consument, beheerder, stuurgroeplid) komt er een vierde rol bij, passend bij wat niveau 2 heeft toegevoegd:</w:t>
      </w:r>
    </w:p>
    <w:p>
      <w:r>
        <w:rPr>
          <w:b/>
        </w:rPr>
        <w:t>De privacyfunctionaris.</w:t>
      </w:r>
      <w:r>
        <w:t xml:space="preserve"> Vraagt specifiek door op AVG-naleving: "Hoe garandeert u dat een inzageverzoek van een deelnemer binnen de wettelijke termijn te beantwoorden is? Wie heeft toegang tot welke gegevens, en is dat aantoonbaar?" Deze rol toetst deel 17 grondig — niet alleen of de techniek klopt, maar of de deelnemer de bredere verantwoordelijkheid begrijpt die bij het verwerken van persoonsgegevens hoort.</w:t>
      </w:r>
    </w:p>
    <w:p>
      <w:r>
        <w:t>De verdediging duurt nu 30 minuten (15 minuten toelichting, 15 minuten vragen verdeeld over de vier rollen), een uitbreiding ten opzichte van niveau 1 die de grotere scope van het landschapsontwerp weerspiegelt.</w:t>
      </w:r>
    </w:p>
    <w:p>
      <w:pPr>
        <w:spacing w:before="80" w:after="80"/>
        <w:pBdr>
          <w:bottom w:val="single" w:sz="6" w:color="E9A13B"/>
        </w:pBdr>
      </w:pPr>
    </w:p>
    <w:p>
      <w:pPr>
        <w:pStyle w:val="Heading2"/>
      </w:pPr>
      <w:r>
        <w:rPr>
          <w:color w:val="14213D"/>
        </w:rPr>
        <w:t>21.4 Wat deze capstone onderscheidt van niveau 1</w:t>
      </w:r>
    </w:p>
    <w:p>
      <w:r>
        <w:t xml:space="preserve">Niveau 1 toetste of je een applicatie kon bouwen en verantwoorden. Niveau 2 toetst of je een </w:t>
      </w:r>
      <w:r>
        <w:rPr>
          <w:b/>
        </w:rPr>
        <w:t>landschap</w:t>
      </w:r>
      <w:r>
        <w:t xml:space="preserve"> kunt ontwerpen — waarbij de kwaliteit van je individuele modules minder belangrijk is dan de kwaliteit van de keuzes over hoe ze samenhangen: eigenaarschap, laagindeling, coëxistentie tussen O11 en ODC, en de bewuste afweging tussen wat je nu bouwt en wat je bewust laat liggen voor niveau 3.</w:t>
      </w:r>
    </w:p>
    <w:p>
      <w:pPr>
        <w:spacing w:before="80" w:after="80"/>
        <w:pBdr>
          <w:bottom w:val="single" w:sz="6" w:color="E9A13B"/>
        </w:pBdr>
      </w:pPr>
    </w:p>
    <w:p>
      <w:pPr>
        <w:pStyle w:val="Heading2"/>
      </w:pPr>
      <w:r>
        <w:rPr>
          <w:color w:val="14213D"/>
        </w:rPr>
        <w:t>Kernpunten</w:t>
      </w:r>
    </w:p>
    <w:p>
      <w:pPr>
        <w:pStyle w:val="ListBullet"/>
      </w:pPr>
      <w:r>
        <w:t>De capstone brengt tien delen (11-20) samen in één samenhangend landschapsontwerp</w:t>
      </w:r>
    </w:p>
    <w:p>
      <w:pPr>
        <w:pStyle w:val="ListBullet"/>
      </w:pPr>
      <w:r>
        <w:t>Vier verdedigingsrollen: consument, beheerder, stuurgroeplid, en nieuw — de privacyfunctionaris</w:t>
      </w:r>
    </w:p>
    <w:p>
      <w:pPr>
        <w:pStyle w:val="ListBullet"/>
      </w:pPr>
      <w:r>
        <w:t>Beoordeling richt zich op de kwaliteit van samenhang en keuzes, niet op individuele module-perfectie</w:t>
      </w:r>
    </w:p>
    <w:p>
      <w:pPr>
        <w:pStyle w:val="ListBullet"/>
      </w:pPr>
      <w:r>
        <w:t>Dit deel sluit niveau 2 af — niveau 3 behandelt portfoliobrede vraagstukken, migratie en leiderschap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