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Deel 23 — Migratie O11 → ODC: coëxistentie, en wat je bewust níét meeneemt</w:t>
      </w:r>
    </w:p>
    <w:p>
      <w:pPr>
        <w:pStyle w:val="Heading2"/>
      </w:pPr>
      <w:r>
        <w:rPr>
          <w:color w:val="14213D"/>
        </w:rPr>
        <w:t>Niveau 3 · Leidend · OutSystems (O11 &amp; ODC) — Twee dagdelen · Zelfstandig aanbiedbaar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Dagdeel A — De migratiebeslissing</w:t>
      </w:r>
    </w:p>
    <w:p>
      <w:pPr>
        <w:pStyle w:val="Heading3"/>
      </w:pPr>
      <w:r>
        <w:rPr>
          <w:color w:val="2563A8"/>
        </w:rPr>
        <w:t>23.1 Waarom dit deel bestaat</w:t>
      </w:r>
    </w:p>
    <w:p>
      <w:r>
        <w:t>Elke satelliet-app die zes jaar geleden in O11 is gebouwd, staat ooit voor dezelfde vraag: blijft die in O11, of migreert hij naar ODC? Dit deel geeft geen pasklaar antwoord — het geeft je het beslismodel en de concrete technische obstakels om die vraag per module te kunnen beantwoorden. Voor elke OutSystems-klant in de Benelux met een bestaand O11-landschap is dit precies de vraag waar ze middenin zitten.</w:t>
      </w:r>
    </w:p>
    <w:p>
      <w:pPr>
        <w:pStyle w:val="Heading3"/>
      </w:pPr>
      <w:r>
        <w:rPr>
          <w:color w:val="2563A8"/>
        </w:rPr>
        <w:t>23.2 Niet alles hoeft te migreren</w:t>
      </w:r>
    </w:p>
    <w:p>
      <w:r>
        <w:t xml:space="preserve">De belangrijkste boodschap van dit dagdeel: </w:t>
      </w:r>
      <w:r>
        <w:rPr>
          <w:b/>
        </w:rPr>
        <w:t>migratie is geen doel op zich.</w:t>
      </w:r>
      <w:r>
        <w:t xml:space="preserve"> Een stabiele, weinig gewijzigde O11-satelliet met een laag gebruiksvolume en geen groeiplannen heeft mogelijk geen enkele zakelijke reden om te migreren — de kosten van migratie (tijd, risico, herbouw van BPT-processen) wegen dan niet op tegen de baten. Migratie is gerechtvaardigd wanneer minstens één van deze drie geldt: de module vraagt actieve doorontwikkeling, de onderliggende O11-infrastructuur nadert het einde van zijn levensduur, of de organisatie kiest bewust voor een uniform platform om onderhoudskosten te verlagen.</w:t>
      </w:r>
    </w:p>
    <w:p>
      <w:pPr>
        <w:pStyle w:val="Heading3"/>
      </w:pPr>
      <w:r>
        <w:rPr>
          <w:color w:val="2563A8"/>
        </w:rPr>
        <w:t>23.3 Het beslismodel: drie vragen per module</w:t>
      </w:r>
    </w:p>
    <w:p>
      <w:pPr>
        <w:pStyle w:val="ListNumber"/>
      </w:pPr>
      <w:r>
        <w:rPr>
          <w:b/>
        </w:rPr>
        <w:t>Hoeveel technische schuld draagt de module al?</w:t>
      </w:r>
      <w:r>
        <w:t xml:space="preserve"> (deel 20) Een module met veel schuld is vaak goedkoper om opnieuw te ontwerpen dan te migreren.</w:t>
      </w:r>
    </w:p>
    <w:p>
      <w:pPr>
        <w:pStyle w:val="ListNumber"/>
      </w:pPr>
      <w:r>
        <w:rPr>
          <w:b/>
        </w:rPr>
        <w:t>Bevat de module een BPT-proces?</w:t>
      </w:r>
      <w:r>
        <w:t xml:space="preserve"> (deel 18) Dit betekent gegarandeerd herontwerp, geen overzet — een zware factor in de kosteninschatting.</w:t>
      </w:r>
    </w:p>
    <w:p>
      <w:pPr>
        <w:pStyle w:val="ListNumber"/>
      </w:pPr>
      <w:r>
        <w:rPr>
          <w:b/>
        </w:rPr>
        <w:t>Hoe hangt de module samen met andere modules?</w:t>
      </w:r>
      <w:r>
        <w:t xml:space="preserve"> (deel 11-13) Een geïsoleerde module migreert eenvoudiger dan een module met veel afhankelijkheden die zelf ook zouden moeten meebewegen.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ur-23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F"/>
          <w:sz w:val="18"/>
        </w:rPr>
        <w:t>Figuur 23-1 — Beslisboom — schuld × BPT × afhankelijkheden → migreren/herbouwen/laten staan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Dagdeel B — De technische obstakels, geconsolideerd</w:t>
      </w:r>
    </w:p>
    <w:p>
      <w:pPr>
        <w:pStyle w:val="Heading3"/>
      </w:pPr>
      <w:r>
        <w:rPr>
          <w:color w:val="2563A8"/>
        </w:rPr>
        <w:t>23.4 Wat je bewust níét meeneemt: een overzicht</w:t>
      </w:r>
    </w:p>
    <w:p>
      <w:r>
        <w:t>Deze cursus heeft door alle niveaus heen concrete platformverschillen benoemd. Dit dagdeel brengt ze samen als een expliciete migratie-checklist:</w:t>
      </w:r>
    </w:p>
    <w:p>
      <w:pPr>
        <w:pStyle w:val="ListBullet"/>
      </w:pPr>
      <w:r>
        <w:rPr>
          <w:b/>
        </w:rPr>
        <w:t>Gebruikersbeheer (deel 8):</w:t>
      </w:r>
      <w:r>
        <w:t xml:space="preserve"> IT Users migreren niet automatisch naar IAM — elke gebruiker en rol moet bewust worden overgezet naar de gekozen identity provider.</w:t>
      </w:r>
    </w:p>
    <w:p>
      <w:pPr>
        <w:pStyle w:val="ListBullet"/>
      </w:pPr>
      <w:r>
        <w:rPr>
          <w:b/>
        </w:rPr>
        <w:t>BPT-processen (deel 18):</w:t>
      </w:r>
      <w:r>
        <w:t xml:space="preserve"> geen automatische conversie — elk proces vraagt herontwerp als expliciete statusmachine.</w:t>
      </w:r>
    </w:p>
    <w:p>
      <w:pPr>
        <w:pStyle w:val="ListBullet"/>
      </w:pPr>
      <w:r>
        <w:rPr>
          <w:b/>
        </w:rPr>
        <w:t>Legacy-integraties via Integration Studio (deel 16):</w:t>
      </w:r>
      <w:r>
        <w:t xml:space="preserve"> deze blijven nodig als tussenlaag, ook na migratie van de omringende applicatielogica, zolang het onderliggende legacy-systeem zelf niet verandert.</w:t>
      </w:r>
    </w:p>
    <w:p>
      <w:pPr>
        <w:pStyle w:val="ListBullet"/>
      </w:pPr>
      <w:r>
        <w:rPr>
          <w:b/>
        </w:rPr>
        <w:t>Directe databasetoegang (deel 3, 13):</w:t>
      </w:r>
      <w:r>
        <w:t xml:space="preserve"> rapportages of processen die op directe databasequeries buiten het platform om leunen, moeten worden herzien naar de entity-laag of een API-koppelvlak.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71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ur-23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7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F"/>
          <w:sz w:val="18"/>
        </w:rPr>
        <w:t>Figuur 23-2 — Vier obstakels met impact-inschatting, iconografisch</w:t>
      </w:r>
    </w:p>
    <w:p>
      <w:pPr>
        <w:pStyle w:val="Heading3"/>
      </w:pPr>
      <w:r>
        <w:rPr>
          <w:color w:val="2563A8"/>
        </w:rPr>
        <w:t>23.5 Wat je bewust wél kunt hergebruiken</w:t>
      </w:r>
    </w:p>
    <w:p>
      <w:r>
        <w:t>Niet alles is verlies: het datamodel-concept (entities, relaties, deel 3) vertaalt zich grotendeels direct; de bedrijfslogica in server actions (deel 4) is conceptueel overdraagbaar, ook al moet de code zelf opnieuw worden opgebouwd in ODC Studio; en — mits goed opgezet volgens deel 11-13 — een Core-laag-module met heldere, gedocumenteerde interfaces is makkelijker te migreren dan een module waarin logica, data en interface door elkaar zijn verweven.</w:t>
      </w:r>
    </w:p>
    <w:p>
      <w:pPr>
        <w:pStyle w:val="Heading3"/>
      </w:pPr>
      <w:r>
        <w:rPr>
          <w:color w:val="2563A8"/>
        </w:rPr>
        <w:t>23.6 Coëxistentie is niet tijdelijk</w:t>
      </w:r>
    </w:p>
    <w:p>
      <w:r>
        <w:t>De belangrijkste correctie op een veelvoorkomend misverstand: coëxistentie tussen O11 en ODC is voor een organisatie als Meridiaan geen overgangsfase die eindigt zodra "alles" is gemigreerd. Zolang er legacy-systemen zonder moderne interface bestaan (deel 16), of modules waarvan migratie zakelijk niet gerechtvaardigd is (23.2), blijft coëxistentie een blijvend architectonisch gegeven, geen tussenstation.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Kernpunten</w:t>
      </w:r>
    </w:p>
    <w:p>
      <w:pPr>
        <w:pStyle w:val="ListBullet"/>
      </w:pPr>
      <w:r>
        <w:t>Migratie is geen doel op zich — het beslismodel weegt technische schuld, BPT-aanwezigheid en modulesamenhang</w:t>
      </w:r>
    </w:p>
    <w:p>
      <w:pPr>
        <w:pStyle w:val="ListBullet"/>
      </w:pPr>
      <w:r>
        <w:t>Vier concrete obstakels vragen bewuste aandacht: gebruikersbeheer, BPT, legacy-integraties, directe databasetoegang</w:t>
      </w:r>
    </w:p>
    <w:p>
      <w:pPr>
        <w:pStyle w:val="ListBullet"/>
      </w:pPr>
      <w:r>
        <w:t>Datamodel-concepten en goed ontworpen Core-modules zijn het meest overdraagbaar</w:t>
      </w:r>
    </w:p>
    <w:p>
      <w:pPr>
        <w:pStyle w:val="ListBullet"/>
      </w:pPr>
      <w:r>
        <w:t>Coëxistentie is een blijvend architectonisch gegeven, geen tijdelijke tussenfase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