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26 — Vendor lock-in en exitstrategie: het eerlijke gesprek</w:t>
      </w:r>
    </w:p>
    <w:p>
      <w:pPr>
        <w:pStyle w:val="Heading2"/>
      </w:pPr>
      <w:r>
        <w:rPr>
          <w:color w:val="14213D"/>
        </w:rPr>
        <w:t>Niveau 3 · Leidend · OutSystems (O11 &amp; ODC)</w:t>
      </w:r>
    </w:p>
    <w:p>
      <w:pPr>
        <w:spacing w:before="80" w:after="80"/>
        <w:pBdr>
          <w:bottom w:val="single" w:sz="6" w:color="E9A13B"/>
        </w:pBdr>
      </w:pPr>
    </w:p>
    <w:p>
      <w:pPr>
        <w:pStyle w:val="Heading2"/>
      </w:pPr>
      <w:r>
        <w:rPr>
          <w:color w:val="14213D"/>
        </w:rPr>
        <w:t>26.1 Het gesprek dat de meeste leveranciers niet voeren</w:t>
      </w:r>
    </w:p>
    <w:p>
      <w:r>
        <w:t>Deze cursus is doorgaans opgebouwd rond wat OutSystems wél goed doet. Dit deel behandelt bewust het tegenovergestelde: wat betekent het dat Meridiaan haar hele portfolio — vijftien modules, jarenlange investering — op een propriëtair platform heeft gebouwd? Als tech lead ben je verantwoordelijk voor een eerlijk antwoord op deze vraag, ook als het ongemakkelijk is.</w:t>
      </w:r>
    </w:p>
    <w:p>
      <w:pPr>
        <w:spacing w:before="80" w:after="80"/>
        <w:pBdr>
          <w:bottom w:val="single" w:sz="6" w:color="E9A13B"/>
        </w:pBdr>
      </w:pPr>
    </w:p>
    <w:p>
      <w:pPr>
        <w:pStyle w:val="Heading2"/>
      </w:pPr>
      <w:r>
        <w:rPr>
          <w:color w:val="14213D"/>
        </w:rPr>
        <w:t>26.2 Wat vendor lock-in concreet betekent voor OutSystems</w:t>
      </w:r>
    </w:p>
    <w:p>
      <w:r>
        <w:t>Een OutSystems-applicatie is niet zomaar te exporteren naar willekeurige andere code — de gegenereerde onderliggende code is niet bedoeld om buiten het platform te worden onderhouden. Dit betekent: het datamodel (entities, relaties) is relatief overdraagbaar naar een ander systeem, maar de bedrijfslogica, interface en met name de platform-specifieke mechanismen (BPT, Aggregates, de gehele visuele-taal-laag) zijn dat niet zonder herbouw.</w:t>
      </w:r>
    </w:p>
    <w:p>
      <w:r>
        <w:t>Voor Meridiaan is dit geen verrassing die pas bij een eventuele exit aan het licht komt — het is een structureel kenmerk van de keuze voor low-code, vanaf dag één aanwezig, en had (idealiter) al meegewogen moeten worden bij de oorspronkelijke platformkeuze zes jaar geleden.</w:t>
      </w:r>
    </w:p>
    <w:p>
      <w:pPr>
        <w:spacing w:before="80" w:after="80"/>
        <w:pBdr>
          <w:bottom w:val="single" w:sz="6" w:color="E9A13B"/>
        </w:pBdr>
      </w:pPr>
    </w:p>
    <w:p>
      <w:pPr>
        <w:pStyle w:val="Heading2"/>
      </w:pPr>
      <w:r>
        <w:rPr>
          <w:color w:val="14213D"/>
        </w:rPr>
        <w:t>26.3 Is lock-in een reden om low-code te vermijden?</w:t>
      </w:r>
    </w:p>
    <w:p>
      <w:r>
        <w:t xml:space="preserve">Nee — en het is belangrijk dit expliciet en eerlijk te behandelen. Elke technologiekeuze brengt een vorm van lock-in met zich mee: een organisatie die alles in Java bouwt, is ook "vast" aan de JVM-ecosysteem-keuzes, de talenten die Java kennen, en de architecturale patronen die daarbij horen. De vraag is niet "lock-in of geen lock-in," maar </w:t>
      </w:r>
      <w:r>
        <w:rPr>
          <w:b/>
        </w:rPr>
        <w:t>welke lock-in tegen welke voordelen</w:t>
      </w:r>
      <w:r>
        <w:t>, en of de organisatie zich daar bewust van is.</w:t>
      </w:r>
    </w:p>
    <w:p>
      <w:r>
        <w:t>Voor Meridiaan: de bouwsnelheid en onderhoudbaarheid die low-code bood (deel 1) zijn reële voordelen die tegen de lock-in moeten worden afgewogen — niet een reden om het platform te wantrouwen, maar een reden om de afweging expliciet te maken en periodiek te herzien.</w:t>
      </w:r>
    </w:p>
    <w:p>
      <w:pPr>
        <w:spacing w:before="80" w:after="80"/>
        <w:pBdr>
          <w:bottom w:val="single" w:sz="6" w:color="E9A13B"/>
        </w:pBdr>
      </w:pPr>
    </w:p>
    <w:p>
      <w:pPr>
        <w:pStyle w:val="Heading2"/>
      </w:pPr>
      <w:r>
        <w:rPr>
          <w:color w:val="14213D"/>
        </w:rPr>
        <w:t>26.4 Een exitstrategie: niet plannen om te vertrekken, wel voorbereid zijn</w:t>
      </w:r>
    </w:p>
    <w:p>
      <w:r>
        <w:t xml:space="preserve">Een </w:t>
      </w:r>
      <w:r>
        <w:rPr>
          <w:b/>
        </w:rPr>
        <w:t>exitstrategie</w:t>
      </w:r>
      <w:r>
        <w:t xml:space="preserve"> betekent niet dat een organisatie van plan is te vertrekken — het betekent dat ze weet wat een vertrek zou kosten en inhouden, mocht die situatie zich voordoen (een leverancier die stopt met een product, een strategische koerswijziging, een fusie). Concrete elementen van een exitstrategie voor Meridiaan:</w:t>
      </w:r>
    </w:p>
    <w:p>
      <w:pPr>
        <w:pStyle w:val="ListBullet"/>
      </w:pPr>
      <w:r>
        <w:rPr>
          <w:b/>
        </w:rPr>
        <w:t>Datamodel-documentatie los van het platform</w:t>
      </w:r>
      <w:r>
        <w:t xml:space="preserve"> (bijvoorbeeld het conventiedocument uit deel 24, aangevuld met een architectuuroverzicht) zodat het datamodel ook zonder toegang tot Service Studio/ODC Studio te begrijpen is.</w:t>
      </w:r>
    </w:p>
    <w:p>
      <w:pPr>
        <w:pStyle w:val="ListBullet"/>
      </w:pPr>
      <w:r>
        <w:rPr>
          <w:b/>
        </w:rPr>
        <w:t>Kennis van welke bedrijfslogica het meest bedrijfskritisch en het minst platformafhankelijk is beschreven</w:t>
      </w:r>
      <w:r>
        <w:t xml:space="preserve"> — een goed gedocumenteerde server action-flow is makkelijker te herbouwen dan een flow die alleen in de hoofden van twee developers bestaat.</w:t>
      </w:r>
    </w:p>
    <w:p>
      <w:pPr>
        <w:pStyle w:val="ListBullet"/>
      </w:pPr>
      <w:r>
        <w:rPr>
          <w:b/>
        </w:rPr>
        <w:t>Een reëel beeld van de herbouwtijd</w:t>
      </w:r>
      <w:r>
        <w:t xml:space="preserve"> per module, gebaseerd op de complexiteitsinschattingen die je al in deel 20 (technische schuld) en deel 23 (migratie) hebt geoefend.</w:t>
      </w:r>
    </w:p>
    <w:p>
      <w:pPr>
        <w:spacing w:before="80" w:after="80"/>
        <w:pBdr>
          <w:bottom w:val="single" w:sz="6" w:color="E9A13B"/>
        </w:pBdr>
      </w:pPr>
    </w:p>
    <w:p>
      <w:pPr>
        <w:pStyle w:val="Heading2"/>
      </w:pPr>
      <w:r>
        <w:rPr>
          <w:color w:val="14213D"/>
        </w:rPr>
        <w:t>26.5 Spoorsplitsing: is de lock-in bij O11 en ODC gelijk?</w:t>
      </w:r>
    </w:p>
    <w:p>
      <w:r>
        <w:t xml:space="preserve">Grotendeels wel — beide platformen delen de fundamentele lock-in-eigenschap van gegenereerde, platform-specifieke code. Een nuanceverschil: ODC's sterkere focus op standaard, API-gebaseerde integratie (deel 16) maakt de </w:t>
      </w:r>
      <w:r>
        <w:rPr>
          <w:b/>
        </w:rPr>
        <w:t>randen</w:t>
      </w:r>
      <w:r>
        <w:t xml:space="preserve"> van het landschap — waar het met andere systemen praat — iets minder platformafhankelijk dan bij O11's soms diepere, platform-specifieke integraties (Integration Studio-extensions). De kern — de bedrijfslogica en interface zelf — blijft in beide platformen even sterk gebonden aan OutSystems.</w:t>
      </w:r>
    </w:p>
    <w:p>
      <w:pPr>
        <w:spacing w:before="80" w:after="80"/>
        <w:pBdr>
          <w:bottom w:val="single" w:sz="6" w:color="E9A13B"/>
        </w:pBdr>
      </w:pPr>
    </w:p>
    <w:p>
      <w:pPr>
        <w:pStyle w:val="Heading2"/>
      </w:pPr>
      <w:r>
        <w:rPr>
          <w:color w:val="14213D"/>
        </w:rPr>
        <w:t>Kernpunten</w:t>
      </w:r>
    </w:p>
    <w:p>
      <w:pPr>
        <w:pStyle w:val="ListBullet"/>
      </w:pPr>
      <w:r>
        <w:t>Vendor lock-in is een structureel, vanaf dag één aanwezig kenmerk van elke low-code-keuze, geen verrassing bij een eventuele exit</w:t>
      </w:r>
    </w:p>
    <w:p>
      <w:pPr>
        <w:pStyle w:val="ListBullet"/>
      </w:pPr>
      <w:r>
        <w:t>De vraag is niet "lock-in of niet," maar welke lock-in tegen welke voordelen — elke technologiekeuze kent een vorm hiervan</w:t>
      </w:r>
    </w:p>
    <w:p>
      <w:pPr>
        <w:pStyle w:val="ListBullet"/>
      </w:pPr>
      <w:r>
        <w:t>Een exitstrategie betekent voorbereid zijn, niet van plan zijn te vertrekken</w:t>
      </w:r>
    </w:p>
    <w:p>
      <w:pPr>
        <w:pStyle w:val="ListBullet"/>
      </w:pPr>
      <w:r>
        <w:t>O11 en ODC delen de kern van de lock-in; ODC's API-gerichte integratie maakt de randen van het landschap iets minder platformafhankelijk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