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28 — Beheersing in productie: observability, incidenten, capaciteit</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28.1 Van bouwen naar draaiend houden</w:t>
      </w:r>
    </w:p>
    <w:p>
      <w:r>
        <w:t>Elk voorgaand deel ging over ontwerpen en bouwen. Zodra WGP 2.0 en de gemigreerde satellieten (deel 23) daadwerkelijk in productie draaien voor het volledige werkgeverslandschap, verschuift de vraag: hoe weet je dat het goed gaat, en wat doe je als dat niet zo is?</w:t>
      </w:r>
    </w:p>
    <w:p>
      <w:pPr>
        <w:spacing w:before="80" w:after="80"/>
        <w:pBdr>
          <w:bottom w:val="single" w:sz="6" w:color="E9A13B"/>
        </w:pBdr>
      </w:pPr>
    </w:p>
    <w:p>
      <w:pPr>
        <w:pStyle w:val="Heading2"/>
      </w:pPr>
      <w:r>
        <w:rPr>
          <w:color w:val="14213D"/>
        </w:rPr>
        <w:t>28.2 Observability: verder dan de monitoring uit deel 14</w:t>
      </w:r>
    </w:p>
    <w:p>
      <w:r>
        <w:t xml:space="preserve">Deel 14 introduceerde monitoring voor performance-optimalisatie tijdens ontwikkeling. </w:t>
      </w:r>
      <w:r>
        <w:rPr>
          <w:b/>
        </w:rPr>
        <w:t>Observability</w:t>
      </w:r>
      <w:r>
        <w:t xml:space="preserve"> in productie is breder: een continu beeld van de gezondheid van het hele landschap — foutpercentages per module, responstijden onder wisselende belasting, de status van elke Timer en asynchrone taak (deel 9, 18), en het aantal openstaande "nog te verwerken"-items dat een teken kan zijn van een structureel probleem in plaats van een incidenteel foutje.</w:t>
      </w:r>
    </w:p>
    <w:p>
      <w:r>
        <w:t xml:space="preserve">Voor een landschap van vijftien modules is losse, per-module monitoring onvoldoende — je hebt een </w:t>
      </w:r>
      <w:r>
        <w:rPr>
          <w:b/>
        </w:rPr>
        <w:t>landschapsbreed dashboard</w:t>
      </w:r>
      <w:r>
        <w:t xml:space="preserve"> nodig dat de gezondheid van het geheel in één oogopslag toont, met de mogelijkheid om in te zoomen op een specifieke module zodra daar een afwijking zichtbaar wordt.</w:t>
      </w:r>
    </w:p>
    <w:p>
      <w:pPr>
        <w:jc w:val="center"/>
      </w:pPr>
      <w:r>
        <w:drawing>
          <wp:inline xmlns:a="http://schemas.openxmlformats.org/drawingml/2006/main" xmlns:pic="http://schemas.openxmlformats.org/drawingml/2006/picture">
            <wp:extent cx="5580000" cy="3268286"/>
            <wp:docPr id="1" name="Picture 1"/>
            <wp:cNvGraphicFramePr>
              <a:graphicFrameLocks noChangeAspect="1"/>
            </wp:cNvGraphicFramePr>
            <a:graphic>
              <a:graphicData uri="http://schemas.openxmlformats.org/drawingml/2006/picture">
                <pic:pic>
                  <pic:nvPicPr>
                    <pic:cNvPr id="0" name="figuur-28-1.png"/>
                    <pic:cNvPicPr/>
                  </pic:nvPicPr>
                  <pic:blipFill>
                    <a:blip r:embed="rId9"/>
                    <a:stretch>
                      <a:fillRect/>
                    </a:stretch>
                  </pic:blipFill>
                  <pic:spPr>
                    <a:xfrm>
                      <a:off x="0" y="0"/>
                      <a:ext cx="5580000" cy="3268286"/>
                    </a:xfrm>
                    <a:prstGeom prst="rect"/>
                  </pic:spPr>
                </pic:pic>
              </a:graphicData>
            </a:graphic>
          </wp:inline>
        </w:drawing>
      </w:r>
    </w:p>
    <w:p>
      <w:pPr>
        <w:jc w:val="center"/>
      </w:pPr>
      <w:r>
        <w:rPr>
          <w:i/>
          <w:color w:val="55606F"/>
          <w:sz w:val="18"/>
        </w:rPr>
        <w:t>Figuur 28-1 — Landschapsbreed dashboard met vijftien modules, kleurcodering gezondheid</w:t>
      </w:r>
    </w:p>
    <w:p>
      <w:pPr>
        <w:spacing w:before="80" w:after="80"/>
        <w:pBdr>
          <w:bottom w:val="single" w:sz="6" w:color="E9A13B"/>
        </w:pBdr>
      </w:pPr>
    </w:p>
    <w:p>
      <w:pPr>
        <w:pStyle w:val="Heading2"/>
      </w:pPr>
      <w:r>
        <w:rPr>
          <w:color w:val="14213D"/>
        </w:rPr>
        <w:t>28.3 Incidentmanagement: van signaal naar oplossing</w:t>
      </w:r>
    </w:p>
    <w:p>
      <w:r>
        <w:t xml:space="preserve">Wanneer observability een probleem signaleert, volgt een gestructureerd incidentproces: </w:t>
      </w:r>
      <w:r>
        <w:rPr>
          <w:b/>
        </w:rPr>
        <w:t>detecteren</w:t>
      </w:r>
      <w:r>
        <w:t xml:space="preserve"> (het dashboard of een alert), </w:t>
      </w:r>
      <w:r>
        <w:rPr>
          <w:b/>
        </w:rPr>
        <w:t>triage</w:t>
      </w:r>
      <w:r>
        <w:t xml:space="preserve"> (hoe ernstig, welke modules geraakt), </w:t>
      </w:r>
      <w:r>
        <w:rPr>
          <w:b/>
        </w:rPr>
        <w:t>mitigeren</w:t>
      </w:r>
      <w:r>
        <w:t xml:space="preserve"> (een tijdelijke workaround, bijvoorbeeld een rollback zoals in deel 19), en </w:t>
      </w:r>
      <w:r>
        <w:rPr>
          <w:b/>
        </w:rPr>
        <w:t>oplossen</w:t>
      </w:r>
      <w:r>
        <w:t xml:space="preserve"> (de daadwerkelijke oorzaak wegnemen). Voor Meridiaan, met een gemengd O11/ODC-landschap, betekent triage vaak ook: welk platform is geraakt, en wie heeft de kennis en toegang om daar te handelen?</w:t>
      </w:r>
    </w:p>
    <w:p>
      <w:pPr>
        <w:jc w:val="center"/>
      </w:pPr>
      <w:r>
        <w:drawing>
          <wp:inline xmlns:a="http://schemas.openxmlformats.org/drawingml/2006/main" xmlns:pic="http://schemas.openxmlformats.org/drawingml/2006/picture">
            <wp:extent cx="5580000" cy="2869714"/>
            <wp:docPr id="2" name="Picture 2"/>
            <wp:cNvGraphicFramePr>
              <a:graphicFrameLocks noChangeAspect="1"/>
            </wp:cNvGraphicFramePr>
            <a:graphic>
              <a:graphicData uri="http://schemas.openxmlformats.org/drawingml/2006/picture">
                <pic:pic>
                  <pic:nvPicPr>
                    <pic:cNvPr id="0" name="figuur-28-2.png"/>
                    <pic:cNvPicPr/>
                  </pic:nvPicPr>
                  <pic:blipFill>
                    <a:blip r:embed="rId10"/>
                    <a:stretch>
                      <a:fillRect/>
                    </a:stretch>
                  </pic:blipFill>
                  <pic:spPr>
                    <a:xfrm>
                      <a:off x="0" y="0"/>
                      <a:ext cx="5580000" cy="2869714"/>
                    </a:xfrm>
                    <a:prstGeom prst="rect"/>
                  </pic:spPr>
                </pic:pic>
              </a:graphicData>
            </a:graphic>
          </wp:inline>
        </w:drawing>
      </w:r>
    </w:p>
    <w:p>
      <w:pPr>
        <w:jc w:val="center"/>
      </w:pPr>
      <w:r>
        <w:rPr>
          <w:i/>
          <w:color w:val="55606F"/>
          <w:sz w:val="18"/>
        </w:rPr>
        <w:t>Figuur 28-2 — Incidentflow met de vier stappen</w:t>
      </w:r>
    </w:p>
    <w:p>
      <w:r>
        <w:rPr>
          <w:b/>
        </w:rPr>
        <w:t>Spoorsplitsing:</w:t>
      </w:r>
      <w:r>
        <w:t xml:space="preserve"> in O11 verloopt incidentrespons vaak via directe toegang tot de Environment (deel 2) en LifeTime, mogelijk in combinatie met externe monitoring-tooling. In ODC is de incidentrespons dieper geïntegreerd in de Portal's observability, met minder noodzaak om aparte tooling te raadplegen — maar met de kanttekening dat dit ook betekent dat het team afhankelijker is van wat de Portal toont, zonder de mogelijkheid tot even diepe, platform-onafhankelijke inspectie die directe infrastructuurtoegang in O11 soms wél biedt.</w:t>
      </w:r>
    </w:p>
    <w:p>
      <w:pPr>
        <w:spacing w:before="80" w:after="80"/>
        <w:pBdr>
          <w:bottom w:val="single" w:sz="6" w:color="E9A13B"/>
        </w:pBdr>
      </w:pPr>
    </w:p>
    <w:p>
      <w:pPr>
        <w:pStyle w:val="Heading2"/>
      </w:pPr>
      <w:r>
        <w:rPr>
          <w:color w:val="14213D"/>
        </w:rPr>
        <w:t>28.4 Capaciteitsplanning</w:t>
      </w:r>
    </w:p>
    <w:p>
      <w:r>
        <w:t>Een landschap dat vandaag goed presteert, kan dat bij een verdubbeling van het gebruik niet meer doen zonder bewuste capaciteitsplanning. Voor Meridiaan, met de Wtp-stelselovergang die potentieel een piek in gebruik van WGP 2.0 veroorzaakt (alle werkgevers moeten in een kort tijdsbestek gegevens controleren en aanleveren), is dit geen abstracte zorg maar een concrete planningsvraag: is het landschap voorbereid op een piekbelasting die aanzienlijk hoger ligt dan de normale dagelijkse belasting?</w:t>
      </w:r>
    </w:p>
    <w:p>
      <w:r>
        <w:rPr>
          <w:b/>
        </w:rPr>
        <w:t>Spoorsplitsing:</w:t>
      </w:r>
      <w:r>
        <w:t xml:space="preserve"> in O11 vraagt capaciteitsopschaling een expliciete infrastructuurbeslissing (meer servercapaciteit, deel 2) — een actie met doorlooptijd die vooraf gepland moet worden. In ODC is opschaling doorgaans vloeiender, dichter bij het cloud-native "meebewegen met vraag"-principe — met de kanttekening dat dit, consistent met deel 25, ook direct kostenimplicaties heeft die vooraf bekend moeten zijn, niet als verrassing bij de eerstvolgende factuur.</w:t>
      </w:r>
    </w:p>
    <w:p>
      <w:pPr>
        <w:spacing w:before="80" w:after="80"/>
        <w:pBdr>
          <w:bottom w:val="single" w:sz="6" w:color="E9A13B"/>
        </w:pBdr>
      </w:pPr>
    </w:p>
    <w:p>
      <w:pPr>
        <w:pStyle w:val="Heading2"/>
      </w:pPr>
      <w:r>
        <w:rPr>
          <w:color w:val="14213D"/>
        </w:rPr>
        <w:t>Kernpunten</w:t>
      </w:r>
    </w:p>
    <w:p>
      <w:pPr>
        <w:pStyle w:val="ListBullet"/>
      </w:pPr>
      <w:r>
        <w:t>Observability in productie is breder dan performance-monitoring tijdens ontwikkeling: landschapsbreed, continu, met inzoommogelijkheid</w:t>
      </w:r>
    </w:p>
    <w:p>
      <w:pPr>
        <w:pStyle w:val="ListBullet"/>
      </w:pPr>
      <w:r>
        <w:t>Incidentmanagement volgt een gestructureerd proces: detecteren, triage, mitigeren, oplossen</w:t>
      </w:r>
    </w:p>
    <w:p>
      <w:pPr>
        <w:pStyle w:val="ListBullet"/>
      </w:pPr>
      <w:r>
        <w:t>Een gemengd landschap vraagt expliciete triage over welk platform is geraakt en wie kan handelen</w:t>
      </w:r>
    </w:p>
    <w:p>
      <w:pPr>
        <w:pStyle w:val="ListBullet"/>
      </w:pPr>
      <w:r>
        <w:t>Capaciteitsplanning is een concrete, voorspelbare planningsvraag bij verwachte piekbelasting — niet een abstracte zorg voor "als het ooit nodig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