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30 — Masterproef: examensimulatie en verdediging</w:t>
      </w:r>
    </w:p>
    <w:p>
      <w:pPr>
        <w:pStyle w:val="Heading2"/>
      </w:pPr>
      <w:r>
        <w:rPr>
          <w:color w:val="14213D"/>
        </w:rPr>
        <w:t>Niveau 3 · Leidend · OutSystems (O11 &amp; ODC) — Twee dagdelen</w:t>
      </w:r>
    </w:p>
    <w:p>
      <w:pPr>
        <w:spacing w:before="80" w:after="80"/>
        <w:pBdr>
          <w:bottom w:val="single" w:sz="6" w:color="E9A13B"/>
        </w:pBdr>
      </w:pPr>
    </w:p>
    <w:p>
      <w:pPr>
        <w:pStyle w:val="Heading2"/>
      </w:pPr>
      <w:r>
        <w:rPr>
          <w:color w:val="14213D"/>
        </w:rPr>
        <w:t>30.1 Waar deze cursus je heeft gebracht</w:t>
      </w:r>
    </w:p>
    <w:p>
      <w:r>
        <w:t>Van Verzuimmeldingen, tweemaal gebouwd (niveau 1), via WGP 2.0 als landschapsontwerp naast veertien satellieten (niveau 2), tot portfoliobesluiten en het gedrag van een tech lead onder druk (niveau 3) — deze masterproef combineert alle drie niveaus in één scenario, met een bewust onhaalbare tijdsdruk als kern van de opgave.</w:t>
      </w:r>
    </w:p>
    <w:p>
      <w:pPr>
        <w:spacing w:before="80" w:after="80"/>
        <w:pBdr>
          <w:bottom w:val="single" w:sz="6" w:color="E9A13B"/>
        </w:pBdr>
      </w:pPr>
    </w:p>
    <w:p>
      <w:pPr>
        <w:pStyle w:val="Heading2"/>
      </w:pPr>
      <w:r>
        <w:rPr>
          <w:color w:val="14213D"/>
        </w:rPr>
        <w:t>30.2 Het scenario</w:t>
      </w:r>
    </w:p>
    <w:p>
      <w:r>
        <w:t xml:space="preserve">Drie maanden vóór de Wtp-deadline meldt Meridiaan's hostingpartij dat zij de infrastructuur waarop de resterende, nog niet gemigreerde O11-satellieten draaien, over </w:t>
      </w:r>
      <w:r>
        <w:rPr>
          <w:b/>
        </w:rPr>
        <w:t>acht weken</w:t>
      </w:r>
      <w:r>
        <w:t xml:space="preserve"> definitief buiten dienst stelt — een externe, niet te heronderhandelen beslissing. Onder de geraakte satellieten bevindt zich de goedkeuringsflow met het BPT-proces (deel 18, 23) die als "functioneel essentieel, technisch verouderd" was gecategoriseerd in deel 22, en waarvan migratie eerder was uitgesteld vanwege de zware herontwerp-inspanning.</w:t>
      </w:r>
    </w:p>
    <w:p>
      <w:r>
        <w:rPr>
          <w:b/>
        </w:rPr>
        <w:t>Dit scenario is bewust onhaalbaar binnen acht weken als je alles zou proberen mee te nemen.</w:t>
      </w:r>
      <w:r>
        <w:t xml:space="preserve"> De opgave is niet om een plan te presenteren waarin alles lukt — het is om, als tech lead, een eerlijk, beargumenteerd advies te geven over wat wél haalbaar is, wat welbewust wordt uitgesteld of anders opgelost (bijvoorbeeld een tijdelijke, minder elegante noodoplossing), en wat de risico's zijn van elke keuze.</w:t>
      </w:r>
    </w:p>
    <w:p>
      <w:pPr>
        <w:spacing w:before="80" w:after="80"/>
        <w:pBdr>
          <w:bottom w:val="single" w:sz="6" w:color="E9A13B"/>
        </w:pBdr>
      </w:pPr>
    </w:p>
    <w:p>
      <w:pPr>
        <w:pStyle w:val="Heading2"/>
      </w:pPr>
      <w:r>
        <w:rPr>
          <w:color w:val="14213D"/>
        </w:rPr>
        <w:t>30.3 De opdracht</w:t>
      </w:r>
    </w:p>
    <w:p>
      <w:r>
        <w:t>Stel een adviesdocument op (maximaal twee A4) met:</w:t>
      </w:r>
    </w:p>
    <w:p>
      <w:pPr>
        <w:pStyle w:val="ListBullet"/>
      </w:pPr>
      <w:r>
        <w:t>Een realistische inschatting van wat binnen acht weken haalbaar is, gebaseerd op het beslismodel uit deel 23 en de kostenafwegingen uit deel 25</w:t>
      </w:r>
    </w:p>
    <w:p>
      <w:pPr>
        <w:pStyle w:val="ListBullet"/>
      </w:pPr>
      <w:r>
        <w:t>Minstens één concreet "nee, dit niet"-advies met onderbouwing — bijvoorbeeld: het BPT-proces volledig herbouwen past niet binnen acht weken, dus een tijdelijke noodoplossing (bijvoorbeeld handmatige verwerking van een deel van de flow, of een minimale, functioneel beperktere versie) is nodig, met een vervolgtraject na de Wtp-deadline</w:t>
      </w:r>
    </w:p>
    <w:p>
      <w:pPr>
        <w:pStyle w:val="ListBullet"/>
      </w:pPr>
      <w:r>
        <w:t>Een risicologboek (deel 19, 28) voor wat er kan misgaan bij de gekozen aanpak</w:t>
      </w:r>
    </w:p>
    <w:p>
      <w:pPr>
        <w:pStyle w:val="ListBullet"/>
      </w:pPr>
      <w:r>
        <w:t>Een korte, expliciete toelichting op hoe dit voorstel voldoet aan de niet-onderhandelbare grenzen uit deel 17 en 27 (AVG, audit, geen onbegeleide AI-beslissingen), ook onder deze tijdsdruk</w:t>
      </w:r>
    </w:p>
    <w:p>
      <w:pPr>
        <w:spacing w:before="80" w:after="80"/>
        <w:pBdr>
          <w:bottom w:val="single" w:sz="6" w:color="E9A13B"/>
        </w:pBdr>
      </w:pPr>
    </w:p>
    <w:p>
      <w:pPr>
        <w:pStyle w:val="Heading2"/>
      </w:pPr>
      <w:r>
        <w:rPr>
          <w:color w:val="14213D"/>
        </w:rPr>
        <w:t>30.4 De verdediging: boardsimulatie</w:t>
      </w:r>
    </w:p>
    <w:p>
      <w:r>
        <w:t>De verdediging (dagdeel B) duurt 35 minuten en simuleert een spoedvergadering van het Architecture Board, met vier rollen:</w:t>
      </w:r>
    </w:p>
    <w:p>
      <w:r>
        <w:rPr>
          <w:b/>
        </w:rPr>
        <w:t>Voorzitter Architecture Board.</w:t>
      </w:r>
      <w:r>
        <w:t xml:space="preserve"> Bewaakt de architecturale samenhang van het voorstel.</w:t>
      </w:r>
    </w:p>
    <w:p>
      <w:r>
        <w:rPr>
          <w:b/>
        </w:rPr>
        <w:t>Meridiaan IT-directeur.</w:t>
      </w:r>
      <w:r>
        <w:t xml:space="preserve"> Vraagt door op operationele haalbaarheid en risico.</w:t>
      </w:r>
    </w:p>
    <w:p>
      <w:r>
        <w:rPr>
          <w:b/>
        </w:rPr>
        <w:t>Stuurgroeplid namens de business.</w:t>
      </w:r>
      <w:r>
        <w:t xml:space="preserve"> Vertegenwoordigt de externe druk van de Wtp-deadline — dringt aan op "kan het niet toch allemaal."</w:t>
      </w:r>
    </w:p>
    <w:p>
      <w:r>
        <w:rPr>
          <w:b/>
        </w:rPr>
        <w:t>Privacyfunctionaris.</w:t>
      </w:r>
      <w:r>
        <w:t xml:space="preserve"> Toetst of de noodoplossing de AVG- en auditgrenzen niet stilzwijgend laat versoepelen onder tijdsdruk.</w:t>
      </w:r>
    </w:p>
    <w:p>
      <w:r>
        <w:t>De rubric beloont een overtuigend, goed beargumenteerd "nee, dit niet" nadrukkelijk boven een oppervlakkig "ja, alles kan" — precies zoals in de EA- en API-cursus, is de vaardigheid om onder druk grenzen te stellen en te verdedigen de kern van wat deze masterproef toetst, niet de vaardigheid om elk verzoek te accommoderen.</w:t>
      </w:r>
    </w:p>
    <w:p>
      <w:pPr>
        <w:spacing w:before="80" w:after="80"/>
        <w:pBdr>
          <w:bottom w:val="single" w:sz="6" w:color="E9A13B"/>
        </w:pBdr>
      </w:pPr>
    </w:p>
    <w:p>
      <w:pPr>
        <w:pStyle w:val="Heading2"/>
      </w:pPr>
      <w:r>
        <w:rPr>
          <w:color w:val="14213D"/>
        </w:rPr>
        <w:t>Kernpunten</w:t>
      </w:r>
    </w:p>
    <w:p>
      <w:pPr>
        <w:pStyle w:val="ListBullet"/>
      </w:pPr>
      <w:r>
        <w:t>De masterproef combineert alle drie niveaus in één scenario: bouwvaardigheid, landschapsontwerp, en tech lead-gedrag onder druk</w:t>
      </w:r>
    </w:p>
    <w:p>
      <w:pPr>
        <w:pStyle w:val="ListBullet"/>
      </w:pPr>
      <w:r>
        <w:t>Het scenario is bewust onhaalbaar in volledige vorm — de opgave is een eerlijk, beargumenteerd advies, geen valse belofte</w:t>
      </w:r>
    </w:p>
    <w:p>
      <w:pPr>
        <w:pStyle w:val="ListBullet"/>
      </w:pPr>
      <w:r>
        <w:t>Vier boardrollen toetsen samenhang, operationele haalbaarheid, externe druk, en compliance-grenzen</w:t>
      </w:r>
    </w:p>
    <w:p>
      <w:pPr>
        <w:pStyle w:val="ListBullet"/>
      </w:pPr>
      <w:r>
        <w:t>Een overtuigend "nee, dit niet" weegt zwaarder dan een oppervlakkig "ja, alles kan" — de afsluitende les van de hele cursus</w:t>
      </w:r>
    </w:p>
    <w:p>
      <w:pPr>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figuur-30-1.png"/>
                    <pic:cNvPicPr/>
                  </pic:nvPicPr>
                  <pic:blipFill>
                    <a:blip r:embed="rId9"/>
                    <a:stretch>
                      <a:fillRect/>
                    </a:stretch>
                  </pic:blipFill>
                  <pic:spPr>
                    <a:xfrm>
                      <a:off x="0" y="0"/>
                      <a:ext cx="5580000" cy="2790000"/>
                    </a:xfrm>
                    <a:prstGeom prst="rect"/>
                  </pic:spPr>
                </pic:pic>
              </a:graphicData>
            </a:graphic>
          </wp:inline>
        </w:drawing>
      </w:r>
    </w:p>
    <w:p>
      <w:pPr>
        <w:jc w:val="center"/>
      </w:pPr>
      <w:r>
        <w:rPr>
          <w:i/>
          <w:color w:val="55606F"/>
          <w:sz w:val="18"/>
        </w:rPr>
        <w:t>Figuur 30-1 — Cursusboog van deel 1 tot deel 30, tijdlijn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