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Docentenhandleiding Deel 1 — Wat low-code wél en niet oplost</w:t>
      </w:r>
    </w:p>
    <w:p>
      <w:r>
        <w:rPr>
          <w:b/>
        </w:rPr>
        <w:t>Duur:</w:t>
      </w:r>
      <w:r>
        <w:t xml:space="preserve"> 1 dagdeel (± 3 uur, inclusief pauze)</w:t>
      </w:r>
    </w:p>
    <w:p>
      <w:r>
        <w:rPr>
          <w:b/>
        </w:rPr>
        <w:t>Vereiste voorkennis:</w:t>
      </w:r>
      <w:r>
        <w:t xml:space="preserve"> geen — dit is het openingsdeel van de cursus</w:t>
      </w:r>
    </w:p>
    <w:p>
      <w:r>
        <w:rPr>
          <w:b/>
        </w:rPr>
        <w:t>Materialen:</w:t>
      </w:r>
      <w:r>
        <w:t xml:space="preserve"> Reader, Werkboek, Slidedeck, toegang tot Service Studio én ODC Studio (opleidingsomgeving)</w:t>
      </w:r>
    </w:p>
    <w:p>
      <w:pPr>
        <w:spacing w:before="80" w:after="80"/>
        <w:pBdr>
          <w:bottom w:val="single" w:sz="6" w:color="E9A13B"/>
        </w:pBdr>
      </w:pPr>
    </w:p>
    <w:p>
      <w:pPr>
        <w:pStyle w:val="Heading2"/>
      </w:pPr>
      <w:r>
        <w:rPr>
          <w:color w:val="14213D"/>
        </w:rPr>
        <w:t>Lesdoelen</w:t>
      </w:r>
    </w:p>
    <w:p>
      <w:r>
        <w:t>Aan het eind van dit deel kan de deelnemer:</w:t>
      </w:r>
    </w:p>
    <w:p>
      <w:pPr>
        <w:pStyle w:val="ListNumber"/>
      </w:pPr>
      <w:r>
        <w:t>Low-code correct positioneren als verschuiving van complexiteit, niet als eliminatie ervan</w:t>
      </w:r>
    </w:p>
    <w:p>
      <w:pPr>
        <w:pStyle w:val="ListNumber"/>
      </w:pPr>
      <w:r>
        <w:t>Drie situaties benoemen waarin OutSystems niet de juiste keuze is</w:t>
      </w:r>
    </w:p>
    <w:p>
      <w:pPr>
        <w:pStyle w:val="ListNumber"/>
      </w:pPr>
      <w:r>
        <w:t>De basisstructuur van zowel Service Studio (O11) als ODC Studio herkennen</w:t>
      </w:r>
    </w:p>
    <w:p>
      <w:pPr>
        <w:pStyle w:val="ListNumber"/>
      </w:pPr>
      <w:r>
        <w:t>De Verzuimmeldingen-casus plaatsen in het bredere Meridiaan-landschap</w:t>
      </w:r>
    </w:p>
    <w:p>
      <w:pPr>
        <w:pStyle w:val="Heading2"/>
      </w:pPr>
      <w:r>
        <w:rPr>
          <w:color w:val="14213D"/>
        </w:rPr>
        <w:t>Tijdsindeling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Tijd</w:t>
            </w:r>
          </w:p>
        </w:tc>
        <w:tc>
          <w:tcPr>
            <w:tcW w:type="dxa" w:w="4320"/>
          </w:tcPr>
          <w:p>
            <w:r>
              <w:rPr>
                <w:b/>
              </w:rPr>
              <w:t>Onderdeel</w:t>
            </w:r>
          </w:p>
        </w:tc>
      </w:tr>
      <w:tr>
        <w:tc>
          <w:tcPr>
            <w:tcW w:type="dxa" w:w="4320"/>
          </w:tcPr>
          <w:p>
            <w:r>
              <w:t>0:00–0:15</w:t>
            </w:r>
          </w:p>
        </w:tc>
        <w:tc>
          <w:tcPr>
            <w:tcW w:type="dxa" w:w="4320"/>
          </w:tcPr>
          <w:p>
            <w:r>
              <w:t>Intro cursus, plaatsing in het Meridiaan-universum (koppeling EA-/API-/SA-cursus)</w:t>
            </w:r>
          </w:p>
        </w:tc>
      </w:tr>
      <w:tr>
        <w:tc>
          <w:tcPr>
            <w:tcW w:type="dxa" w:w="4320"/>
          </w:tcPr>
          <w:p>
            <w:r>
              <w:t>0:15–0:45</w:t>
            </w:r>
          </w:p>
        </w:tc>
        <w:tc>
          <w:tcPr>
            <w:tcW w:type="dxa" w:w="4320"/>
          </w:tcPr>
          <w:p>
            <w:r>
              <w:t>Reader 1.1–1.2 klassikaal doornemen, discussie stellingen</w:t>
            </w:r>
          </w:p>
        </w:tc>
      </w:tr>
      <w:tr>
        <w:tc>
          <w:tcPr>
            <w:tcW w:type="dxa" w:w="4320"/>
          </w:tcPr>
          <w:p>
            <w:r>
              <w:t>0:45–1:15</w:t>
            </w:r>
          </w:p>
        </w:tc>
        <w:tc>
          <w:tcPr>
            <w:tcW w:type="dxa" w:w="4320"/>
          </w:tcPr>
          <w:p>
            <w:r>
              <w:t>Opdracht 1.1 en 1.2 individueel, nabespreking</w:t>
            </w:r>
          </w:p>
        </w:tc>
      </w:tr>
      <w:tr>
        <w:tc>
          <w:tcPr>
            <w:tcW w:type="dxa" w:w="4320"/>
          </w:tcPr>
          <w:p>
            <w:r>
              <w:t>1:15–1:30</w:t>
            </w:r>
          </w:p>
        </w:tc>
        <w:tc>
          <w:tcPr>
            <w:tcW w:type="dxa" w:w="4320"/>
          </w:tcPr>
          <w:p>
            <w:r>
              <w:t>Pauze</w:t>
            </w:r>
          </w:p>
        </w:tc>
      </w:tr>
      <w:tr>
        <w:tc>
          <w:tcPr>
            <w:tcW w:type="dxa" w:w="4320"/>
          </w:tcPr>
          <w:p>
            <w:r>
              <w:t>1:30–2:00</w:t>
            </w:r>
          </w:p>
        </w:tc>
        <w:tc>
          <w:tcPr>
            <w:tcW w:type="dxa" w:w="4320"/>
          </w:tcPr>
          <w:p>
            <w:r>
              <w:t>Reader 1.3, intro tweesporigheid — leg hier het format van de cursus uit (elk deel eindigt met "Verschil O11 ↔ ODC")</w:t>
            </w:r>
          </w:p>
        </w:tc>
      </w:tr>
      <w:tr>
        <w:tc>
          <w:tcPr>
            <w:tcW w:type="dxa" w:w="4320"/>
          </w:tcPr>
          <w:p>
            <w:r>
              <w:t>2:00–2:45</w:t>
            </w:r>
          </w:p>
        </w:tc>
        <w:tc>
          <w:tcPr>
            <w:tcW w:type="dxa" w:w="4320"/>
          </w:tcPr>
          <w:p>
            <w:r>
              <w:t>Baan A en Baan B parallel: verdeel de groep, of laat iedereen beide banen doen als de tijd het toelaat</w:t>
            </w:r>
          </w:p>
        </w:tc>
      </w:tr>
      <w:tr>
        <w:tc>
          <w:tcPr>
            <w:tcW w:type="dxa" w:w="4320"/>
          </w:tcPr>
          <w:p>
            <w:r>
              <w:t>2:45–3:00</w:t>
            </w:r>
          </w:p>
        </w:tc>
        <w:tc>
          <w:tcPr>
            <w:tcW w:type="dxa" w:w="4320"/>
          </w:tcPr>
          <w:p>
            <w:r>
              <w:t>Reflectieopdracht 1.3, vooruitblik deel 2</w:t>
            </w:r>
          </w:p>
        </w:tc>
      </w:tr>
    </w:tbl>
    <w:p/>
    <w:p>
      <w:pPr>
        <w:pStyle w:val="Heading2"/>
      </w:pPr>
      <w:r>
        <w:rPr>
          <w:color w:val="14213D"/>
        </w:rPr>
        <w:t>Didactische aandachtspunten</w:t>
      </w:r>
    </w:p>
    <w:p>
      <w:r>
        <w:rPr>
          <w:b/>
        </w:rPr>
        <w:t>Het tweesporenformat vanaf minuut één expliciet maken.</w:t>
      </w:r>
      <w:r>
        <w:t xml:space="preserve"> Deelnemers die alleen O11 of alleen ODC in hun dagelijkse werk gebruiken, zullen geneigd zijn het andere spoor over te slaan. Benadruk dat de veertien bestaande satellietapps bij Meridiaan een realistisch scenario zijn — negen van de tien organisaties in de praktijk zitten met precies dit soort gemengde landschappen.</w:t>
      </w:r>
    </w:p>
    <w:p>
      <w:r>
        <w:rPr>
          <w:b/>
        </w:rPr>
        <w:t>Opdracht 1.2c (streaming-dashboard) roept vaak discussie op.</w:t>
      </w:r>
      <w:r>
        <w:t xml:space="preserve"> Sommige deelnemers redeneren dat "OutSystems ook events kan verwerken" — waar is, maar de eis van 5ms-latency is het scherpe punt, niet de mogelijkheid tot event-verwerking op zich. Stuur de discussie naar het onderscheid tussen </w:t>
      </w:r>
      <w:r>
        <w:rPr>
          <w:i/>
        </w:rPr>
        <w:t>kunnen</w:t>
      </w:r>
      <w:r>
        <w:t xml:space="preserve"> en </w:t>
      </w:r>
      <w:r>
        <w:rPr>
          <w:i/>
        </w:rPr>
        <w:t>moeten</w:t>
      </w:r>
      <w:r>
        <w:t>.</w:t>
      </w:r>
    </w:p>
    <w:p>
      <w:r>
        <w:rPr>
          <w:b/>
        </w:rPr>
        <w:t>Bij Baan A/B: laat beide groepen na afloop kort delen wat ze zagen.</w:t>
      </w:r>
      <w:r>
        <w:t xml:space="preserve"> Ook als je de groep splitst om tijd te besparen, is het cruciaal dat iedereen de eerste-indruk-vergelijking hoort — dat is de basis voor deel 2.</w:t>
      </w:r>
    </w:p>
    <w:p>
      <w:r>
        <w:rPr>
          <w:b/>
        </w:rPr>
        <w:t>Niet te diep ingaan op lifecycle/deployment in dit deel.</w:t>
      </w:r>
      <w:r>
        <w:t xml:space="preserve"> Deelnemers vragen soms door naar hoe deployment werkt zodra ze de ODC Portal zien. Parkeer dat expliciet naar deel 19 — dit deel gaat over positionering, niet over platformmechaniek.</w:t>
      </w:r>
    </w:p>
    <w:p>
      <w:pPr>
        <w:pStyle w:val="Heading2"/>
      </w:pPr>
      <w:r>
        <w:rPr>
          <w:color w:val="14213D"/>
        </w:rPr>
        <w:t>Veelgestelde vragen</w:t>
      </w:r>
    </w:p>
    <w:p>
      <w:r>
        <w:rPr>
          <w:b/>
        </w:rPr>
        <w:t>"Waarom leren we twee platformen tegelijk, dat is toch dubbel werk?"</w:t>
      </w:r>
    </w:p>
    <w:p>
      <w:r>
        <w:t>Leg uit dat de cursus je voorbereidt op het landschap zoals het ís, niet zoals een leverancier het liever zou zien. Verwijs naar de aankomende migratiemodule (deel 23) als het punt waar deze investering zich terugbetaalt.</w:t>
      </w:r>
    </w:p>
    <w:p>
      <w:r>
        <w:rPr>
          <w:b/>
        </w:rPr>
        <w:t>"Is ODC gewoon de opvolger van O11, moeten we niet gewoon daarnaar overstappen?"</w:t>
      </w:r>
    </w:p>
    <w:p>
      <w:r>
        <w:t>Nog niet expliciet beantwoorden — dat hoort bij deel 23 (Lock-in en exitstrategie, deel 26 in niveau 3). Wel kort erkennen dat OutSystems zijn toekomstige productinvesteringen op ODC concentreert, zonder daar een waardeoordeel aan te hangen richting de deelnemers.</w:t>
      </w:r>
    </w:p>
    <w:p>
      <w:pPr>
        <w:pStyle w:val="Heading2"/>
      </w:pPr>
      <w:r>
        <w:rPr>
          <w:color w:val="14213D"/>
        </w:rPr>
        <w:t>Verbinding met de rest van de cursus</w:t>
      </w:r>
    </w:p>
    <w:p>
      <w:r>
        <w:t>Dit deel plant twee zaden die pas veel later ontkiemen: de format-conventie "Verschil O11 ↔ ODC" (herhaalt zich in elk volgend deel) en de casusdraad Verzuimmeldingen → WGP 2.0 → portfoliobesluit (niveau 2 en 3). Neem de tijd om dat vooruitzicht te schetsen — het geeft de rest van de cursus richting.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