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Werkboek Deel 1 — Wat low-code wél en niet oplost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Opdracht 1.1 — Low-code herkennen (beide banen gezamenlijk)</w:t>
      </w:r>
    </w:p>
    <w:p>
      <w:r>
        <w:t>Lees de volgende drie stellingen over Verzuimmeldingen. Bepaal per stelling of het probleem door low-code wordt opgelost, of dat het een ontwerpkeuze blijft die jij moet maken — ongeacht platform.</w:t>
      </w:r>
    </w:p>
    <w:p>
      <w:r>
        <w:rPr>
          <w:b/>
        </w:rPr>
        <w:t>a.</w:t>
      </w:r>
      <w:r>
        <w:t xml:space="preserve"> "Als een HR-medewerker een verzuimmelding indient zonder startdatum, moet het formulier dat blokkeren."</w:t>
      </w:r>
    </w:p>
    <w:p>
      <w:r>
        <w:rPr>
          <w:b/>
        </w:rPr>
        <w:t>b.</w:t>
      </w:r>
      <w:r>
        <w:t xml:space="preserve"> "Bij duizend gelijktijdige indieningen tijdens de griepgolf mag de app niet vastlopen."</w:t>
      </w:r>
    </w:p>
    <w:p>
      <w:r>
        <w:rPr>
          <w:b/>
        </w:rPr>
        <w:t>c.</w:t>
      </w:r>
      <w:r>
        <w:t xml:space="preserve"> "Nieuwe teamleden moeten de flow van een melding kunnen volgen zonder de hele codebase te lezen."</w:t>
      </w:r>
    </w:p>
    <w:p>
      <w:pPr>
        <w:pStyle w:val="Heading3"/>
      </w:pPr>
      <w:r>
        <w:rPr>
          <w:color w:val="2563A8"/>
        </w:rPr>
        <w:t>Uitwerking 1.1</w:t>
      </w:r>
    </w:p>
    <w:p>
      <w:r>
        <w:rPr>
          <w:b/>
        </w:rPr>
        <w:t>a.</w:t>
      </w:r>
      <w:r>
        <w:t xml:space="preserve"> Ontwerpkeuze, geen automatisch cadeau. Het platform biedt validatiemechanismen (input-validatie op een formulierveld), maar jij bepaalt welke regel geldt en hoe de foutmelding klinkt. Low-code maakt het </w:t>
      </w:r>
      <w:r>
        <w:rPr>
          <w:i/>
        </w:rPr>
        <w:t>makkelijker</w:t>
      </w:r>
      <w:r>
        <w:t xml:space="preserve"> te implementeren, niet vanzelf </w:t>
      </w:r>
      <w:r>
        <w:rPr>
          <w:i/>
        </w:rPr>
        <w:t>aanwezig</w:t>
      </w:r>
      <w:r>
        <w:t>.</w:t>
      </w:r>
    </w:p>
    <w:p>
      <w:r>
        <w:rPr>
          <w:b/>
        </w:rPr>
        <w:t>b.</w:t>
      </w:r>
      <w:r>
        <w:t xml:space="preserve"> Ontwerpkeuze. Volume-eisen vragen bewuste keuzes in aggregates, database-indexering en eventueel asynchrone verwerking (deel 6, 18) — het platform lost dit niet automatisch op enkel omdat het low-code is.</w:t>
      </w:r>
    </w:p>
    <w:p>
      <w:r>
        <w:rPr>
          <w:b/>
        </w:rPr>
        <w:t>c.</w:t>
      </w:r>
      <w:r>
        <w:t xml:space="preserve"> Dit is wél iets wat low-code structureel oplost: de visuele flow is per definitie leesbaarder voor een nieuwkomer dan geëquivalente vrije code, mits je de flow zelf niet onnodig complex maakt.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Opdracht 1.2 — Nee durven zeggen (beide banen gezamenlijk)</w:t>
      </w:r>
    </w:p>
    <w:p>
      <w:r>
        <w:t>Meridiaan overweegt drie toekomstige uitbreidingen van het portaalapplicatielandschap. Beoordeel per casus of OutSystems een passend platform is, en waarom.</w:t>
      </w:r>
    </w:p>
    <w:p>
      <w:r>
        <w:rPr>
          <w:b/>
        </w:rPr>
        <w:t>a.</w:t>
      </w:r>
      <w:r>
        <w:t xml:space="preserve"> Een rekenmodule die op basis van beleggingsmix en marktdata een pensioenprognose met Monte Carlo-simulatie berekent (10.000 simulatiepaden per aanvraag).</w:t>
      </w:r>
    </w:p>
    <w:p>
      <w:r>
        <w:rPr>
          <w:b/>
        </w:rPr>
        <w:t>b.</w:t>
      </w:r>
      <w:r>
        <w:t xml:space="preserve"> Een app waarin werkgevers hun eigen personeelsmutaties invoeren, met validatie tegen bedrijfsregels en een goedkeuringsflow.</w:t>
      </w:r>
    </w:p>
    <w:p>
      <w:r>
        <w:rPr>
          <w:b/>
        </w:rPr>
        <w:t>c.</w:t>
      </w:r>
      <w:r>
        <w:t xml:space="preserve"> Een realtime dashboard dat marktdata-ticks van een externe beurs-feed verwerkt met een verwerkingslatency-eis van minder dan 5 milliseconden.</w:t>
      </w:r>
    </w:p>
    <w:p>
      <w:pPr>
        <w:pStyle w:val="Heading3"/>
      </w:pPr>
      <w:r>
        <w:rPr>
          <w:color w:val="2563A8"/>
        </w:rPr>
        <w:t>Uitwerking 1.2</w:t>
      </w:r>
    </w:p>
    <w:p>
      <w:r>
        <w:rPr>
          <w:b/>
        </w:rPr>
        <w:t>a.</w:t>
      </w:r>
      <w:r>
        <w:t xml:space="preserve"> Grensgeval, richting nee voor de rekenkern. 10.000 simulatiepaden per aanvraag is rekenintensief. Voorstel: reken zelf niet in OutSystems, maar laat de flow een externe rekenservice aanroepen (REST, zie deel 9) en toon het resultaat in de OutSystems-UI. De </w:t>
      </w:r>
      <w:r>
        <w:rPr>
          <w:i/>
        </w:rPr>
        <w:t>orkestratie en presentatie</w:t>
      </w:r>
      <w:r>
        <w:t xml:space="preserve"> horen wel in het platform, de </w:t>
      </w:r>
      <w:r>
        <w:rPr>
          <w:i/>
        </w:rPr>
        <w:t>berekening</w:t>
      </w:r>
      <w:r>
        <w:t xml:space="preserve"> niet.</w:t>
      </w:r>
    </w:p>
    <w:p>
      <w:r>
        <w:rPr>
          <w:b/>
        </w:rPr>
        <w:t>b.</w:t>
      </w:r>
      <w:r>
        <w:t xml:space="preserve"> Ja, schoolvoorbeeld — vergelijkbaar met Verzuimmeldingen. Formuliergedreven, standaardvolume, goedkeuringslogica is precies waar OutSystems sterk in is.</w:t>
      </w:r>
    </w:p>
    <w:p>
      <w:r>
        <w:rPr>
          <w:b/>
        </w:rPr>
        <w:t>c.</w:t>
      </w:r>
      <w:r>
        <w:t xml:space="preserve"> Nee. 5 milliseconden-latency-eisen op streaming data passen niet bij een platform gebouwd voor formulier- en proces-gedreven applicaties. Dit hoort in een gespecialiseerde streaming-architectuur, buiten OutSystems.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A — OutSystems 11</w:t>
      </w:r>
    </w:p>
    <w:p>
      <w:pPr>
        <w:pStyle w:val="Heading3"/>
      </w:pPr>
      <w:r>
        <w:rPr>
          <w:color w:val="2563A8"/>
        </w:rPr>
        <w:t>Opdracht 1.A — Verkenning Service Studio</w:t>
      </w:r>
    </w:p>
    <w:p>
      <w:r>
        <w:t xml:space="preserve">Installeer of open Service Studio (via je opleidingsomgeving) en maak een nieuwe, lege app genaamd </w:t>
      </w:r>
      <w:r>
        <w:rPr>
          <w:rFonts w:ascii="Consolas" w:hAnsi="Consolas"/>
        </w:rPr>
        <w:t>VerzuimO11</w:t>
      </w:r>
      <w:r>
        <w:t>. Noteer: welke lagen zie je direct in het scherm na het aanmaken (Interface, Logic, Data)? Wat valt op aan hoe O11 een nieuwe module initieel opzet?</w:t>
      </w:r>
    </w:p>
    <w:p>
      <w:pPr>
        <w:pStyle w:val="Heading3"/>
      </w:pPr>
      <w:r>
        <w:rPr>
          <w:color w:val="2563A8"/>
        </w:rPr>
        <w:t>Uitwerking 1.A</w:t>
      </w:r>
    </w:p>
    <w:p>
      <w:r>
        <w:t xml:space="preserve">Service Studio toont bij het aanmaken van een nieuwe app direct de drie kernlagen in de linkerboom: </w:t>
      </w:r>
      <w:r>
        <w:rPr>
          <w:b/>
        </w:rPr>
        <w:t>Data</w:t>
      </w:r>
      <w:r>
        <w:t xml:space="preserve"> (entities), </w:t>
      </w:r>
      <w:r>
        <w:rPr>
          <w:b/>
        </w:rPr>
        <w:t>Logic</w:t>
      </w:r>
      <w:r>
        <w:t xml:space="preserve"> (server/client actions, business logic), </w:t>
      </w:r>
      <w:r>
        <w:rPr>
          <w:b/>
        </w:rPr>
        <w:t>Interface</w:t>
      </w:r>
      <w:r>
        <w:t xml:space="preserve"> (screens, blocks). O11 zet standaard een lege Home-screen en een basisthema klaar. Herkenningspunt voor deelnemers: de boomstructuur is de fysieke weerslag van de Architecture Canvas die in deel 11 formeel wordt geïntroduceerd — je ziet de lagen dus al vanaf dag één, lang voordat je het woord "architectuur" gebruikt.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B — OutSystems Developer Cloud</w:t>
      </w:r>
    </w:p>
    <w:p>
      <w:pPr>
        <w:pStyle w:val="Heading3"/>
      </w:pPr>
      <w:r>
        <w:rPr>
          <w:color w:val="2563A8"/>
        </w:rPr>
        <w:t>Opdracht 1.B — Verkenning ODC Studio</w:t>
      </w:r>
    </w:p>
    <w:p>
      <w:r>
        <w:t xml:space="preserve">Open ODC Studio (via je opleidingsomgeving) en maak een nieuwe, lege app genaamd </w:t>
      </w:r>
      <w:r>
        <w:rPr>
          <w:rFonts w:ascii="Consolas" w:hAnsi="Consolas"/>
        </w:rPr>
        <w:t>VerzuimODC</w:t>
      </w:r>
      <w:r>
        <w:t xml:space="preserve"> in dezelfde workspace als waar je team samenwerkt. Noteer: welke lagen zie je, en wat is het eerste zichtbare verschil met Service Studio uit Opdracht 1.A?</w:t>
      </w:r>
    </w:p>
    <w:p>
      <w:pPr>
        <w:pStyle w:val="Heading3"/>
      </w:pPr>
      <w:r>
        <w:rPr>
          <w:color w:val="2563A8"/>
        </w:rPr>
        <w:t>Uitwerking 1.B</w:t>
      </w:r>
    </w:p>
    <w:p>
      <w:r>
        <w:t xml:space="preserve">De lagen zijn identiek benoemd (Data, Logic, Interface) — de onderliggende visuele taal is gedeeld. Het eerste zichtbare verschil zit in de </w:t>
      </w:r>
      <w:r>
        <w:rPr>
          <w:b/>
        </w:rPr>
        <w:t>workspace-context</w:t>
      </w:r>
      <w:r>
        <w:t>: ODC Studio opent een app altijd binnen een cloud-workspace met directe koppeling aan de ODC Portal, terwijl Service Studio lokaal tegen een Environment werkt dat je expliciet configureert. Dit verschil is een voorproefje van deel 2 (platformanatomie) en deel 19 (lifecycle): ODC verplaatst een deel van wat in O11 handmatige omgevingsconfiguratie is, naar impliciete platformstructuur.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Reflectieopdracht 1.3 (beide banen gezamenlijk)</w:t>
      </w:r>
    </w:p>
    <w:p>
      <w:r>
        <w:t>In twee tot drie zinnen: als Meridiaan je zou vragen waarom de veertien bestaande O11-satellieten niet per direct naar ODC gemigreerd worden, wat zou je antwoorden op basis van dit deel alleen?</w:t>
      </w:r>
    </w:p>
    <w:p>
      <w:pPr>
        <w:pStyle w:val="Heading3"/>
      </w:pPr>
      <w:r>
        <w:rPr>
          <w:color w:val="2563A8"/>
        </w:rPr>
        <w:t>Uitwerking 1.3</w:t>
      </w:r>
    </w:p>
    <w:p>
      <w:r>
        <w:t>Op basis van dit deel alleen: migratie is geen technische formaliteit maar een investeringskeuze — veertien werkende applicaties vervangen kost tijd en risico, terwijl low-code geen garantie geeft dat migratie zonder herontwerp kan (de platformen delen een taal, geen identieke uitvoering). Een volledig antwoord — inclusief coëxistentiestrategie — komt pas in deel 23; hier volstaat het inzicht dat "het kan in ODC" niet hetzelfde is als "het moet per direct."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