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Docentenhandleiding Deel 2 — Platformanatomie</w:t>
      </w:r>
    </w:p>
    <w:p>
      <w:r>
        <w:rPr>
          <w:b/>
        </w:rPr>
        <w:t>Duur:</w:t>
      </w:r>
      <w:r>
        <w:t xml:space="preserve"> 1 dagdeel (± 3 uur)</w:t>
      </w:r>
    </w:p>
    <w:p>
      <w:r>
        <w:rPr>
          <w:b/>
        </w:rPr>
        <w:t>Vereiste voorkennis:</w:t>
      </w:r>
      <w:r>
        <w:t xml:space="preserve"> Deel 1</w:t>
      </w:r>
    </w:p>
    <w:p>
      <w:r>
        <w:rPr>
          <w:b/>
        </w:rPr>
        <w:t>Materialen:</w:t>
      </w:r>
      <w:r>
        <w:t xml:space="preserve"> Reader, Werkboek, Slidedeck, toegang tot LifeTime (O11) en ODC Portal</w:t>
      </w:r>
    </w:p>
    <w:p>
      <w:pPr>
        <w:pStyle w:val="Heading2"/>
      </w:pPr>
      <w:r>
        <w:rPr>
          <w:color w:val="14213D"/>
        </w:rPr>
        <w:t>Lesdoelen</w:t>
      </w:r>
    </w:p>
    <w:p>
      <w:pPr>
        <w:pStyle w:val="ListNumber"/>
      </w:pPr>
      <w:r>
        <w:t>De infrastructuur achter O11 (Environments, LifeTime) en ODC (cloud-workspace, Portal) benoemen</w:t>
      </w:r>
    </w:p>
    <w:p>
      <w:pPr>
        <w:pStyle w:val="ListNumber"/>
      </w:pPr>
      <w:r>
        <w:t>TrueChange uitleggen als gedeeld mechanisme achter snelle incrementele publicatie</w:t>
      </w:r>
    </w:p>
    <w:p>
      <w:pPr>
        <w:pStyle w:val="ListNumber"/>
      </w:pPr>
      <w:r>
        <w:t>Het verschil tussen developer-publicatie en gecontroleerde productiepromotie herkennen in beide platformen</w:t>
      </w:r>
    </w:p>
    <w:p>
      <w:pPr>
        <w:pStyle w:val="Heading2"/>
      </w:pPr>
      <w:r>
        <w:rPr>
          <w:color w:val="14213D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Tijd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Onderdeel</w:t>
            </w:r>
          </w:p>
        </w:tc>
      </w:tr>
      <w:tr>
        <w:tc>
          <w:tcPr>
            <w:tcW w:type="dxa" w:w="4320"/>
          </w:tcPr>
          <w:p>
            <w:r>
              <w:t>0:00–0:20</w:t>
            </w:r>
          </w:p>
        </w:tc>
        <w:tc>
          <w:tcPr>
            <w:tcW w:type="dxa" w:w="4320"/>
          </w:tcPr>
          <w:p>
            <w:r>
              <w:t>Terugblik deel 1, intro platformanatomie</w:t>
            </w:r>
          </w:p>
        </w:tc>
      </w:tr>
      <w:tr>
        <w:tc>
          <w:tcPr>
            <w:tcW w:type="dxa" w:w="4320"/>
          </w:tcPr>
          <w:p>
            <w:r>
              <w:t>0:20–0:50</w:t>
            </w:r>
          </w:p>
        </w:tc>
        <w:tc>
          <w:tcPr>
            <w:tcW w:type="dxa" w:w="4320"/>
          </w:tcPr>
          <w:p>
            <w:r>
              <w:t>Reader 2.1–2.2, TrueChange met een live-demo (wijzig een label, laat publicatietijd zien)</w:t>
            </w:r>
          </w:p>
        </w:tc>
      </w:tr>
      <w:tr>
        <w:tc>
          <w:tcPr>
            <w:tcW w:type="dxa" w:w="4320"/>
          </w:tcPr>
          <w:p>
            <w:r>
              <w:t>0:50–1:15</w:t>
            </w:r>
          </w:p>
        </w:tc>
        <w:tc>
          <w:tcPr>
            <w:tcW w:type="dxa" w:w="4320"/>
          </w:tcPr>
          <w:p>
            <w:r>
              <w:t>Opdracht 2.1, nabespreking</w:t>
            </w:r>
          </w:p>
        </w:tc>
      </w:tr>
      <w:tr>
        <w:tc>
          <w:tcPr>
            <w:tcW w:type="dxa" w:w="4320"/>
          </w:tcPr>
          <w:p>
            <w:r>
              <w:t>1:15–1:30</w:t>
            </w:r>
          </w:p>
        </w:tc>
        <w:tc>
          <w:tcPr>
            <w:tcW w:type="dxa" w:w="4320"/>
          </w:tcPr>
          <w:p>
            <w:r>
              <w:t>Pauze</w:t>
            </w:r>
          </w:p>
        </w:tc>
      </w:tr>
      <w:tr>
        <w:tc>
          <w:tcPr>
            <w:tcW w:type="dxa" w:w="4320"/>
          </w:tcPr>
          <w:p>
            <w:r>
              <w:t>1:30–2:15</w:t>
            </w:r>
          </w:p>
        </w:tc>
        <w:tc>
          <w:tcPr>
            <w:tcW w:type="dxa" w:w="4320"/>
          </w:tcPr>
          <w:p>
            <w:r>
              <w:t>Baan A/B: LifeTime en Portal verkennen</w:t>
            </w:r>
          </w:p>
        </w:tc>
      </w:tr>
      <w:tr>
        <w:tc>
          <w:tcPr>
            <w:tcW w:type="dxa" w:w="4320"/>
          </w:tcPr>
          <w:p>
            <w:r>
              <w:t>2:15–2:45</w:t>
            </w:r>
          </w:p>
        </w:tc>
        <w:tc>
          <w:tcPr>
            <w:tcW w:type="dxa" w:w="4320"/>
          </w:tcPr>
          <w:p>
            <w:r>
              <w:t>Reflectieopdracht 2.2, discussie beheerverantwoordelijkheid</w:t>
            </w:r>
          </w:p>
        </w:tc>
      </w:tr>
      <w:tr>
        <w:tc>
          <w:tcPr>
            <w:tcW w:type="dxa" w:w="4320"/>
          </w:tcPr>
          <w:p>
            <w:r>
              <w:t>2:45–3:00</w:t>
            </w:r>
          </w:p>
        </w:tc>
        <w:tc>
          <w:tcPr>
            <w:tcW w:type="dxa" w:w="4320"/>
          </w:tcPr>
          <w:p>
            <w:r>
              <w:t>Vooruitblik deel 3 (datamodel)</w:t>
            </w:r>
          </w:p>
        </w:tc>
      </w:tr>
    </w:tbl>
    <w:p/>
    <w:p>
      <w:pPr>
        <w:pStyle w:val="Heading2"/>
      </w:pPr>
      <w:r>
        <w:rPr>
          <w:color w:val="14213D"/>
        </w:rPr>
        <w:t>Didactische aandachtspunten</w:t>
      </w:r>
    </w:p>
    <w:p>
      <w:r>
        <w:rPr>
          <w:b/>
        </w:rPr>
        <w:t>De TrueChange-demo is het sterkste moment van dit deel.</w:t>
      </w:r>
      <w:r>
        <w:t xml:space="preserve"> Laat concreet zien: wijzig eerst een tekstlabel (snelle publicatie), wijzig daarna — indien de opleidingsomgeving dit toelaat — een entity-attribuut waarvan meerdere schermen afhankelijk zijn (langzamere publicatie, meer hercompilatie zichtbaar in de voortgangsindicator). Dit maakt het mechanisme tastbaar in plaats van abstract.</w:t>
      </w:r>
    </w:p>
    <w:p>
      <w:r>
        <w:rPr>
          <w:b/>
        </w:rPr>
        <w:t>Vermijd het waardeoordeel "ODC is beter/makkelijker."</w:t>
      </w:r>
      <w:r>
        <w:t xml:space="preserve"> Sommige deelnemers concluderen na de Portal-demo snel dat ODC simpelweg superieur is omdat er minder handmatige stappen zijn. Stuur dit bij: minder stappen betekent ook minder ingebouwde controlemomenten — een organisatorisch, geen puur technisch voordeel of nadeel. Dit wordt in deel 19 volledig uitgewerkt; hier volstaat het zaadje.</w:t>
      </w:r>
    </w:p>
    <w:p>
      <w:r>
        <w:rPr>
          <w:b/>
        </w:rPr>
        <w:t>Rollen en rechten nog niet uitdiepen.</w:t>
      </w:r>
      <w:r>
        <w:t xml:space="preserve"> Opdracht 2.A introduceert het concept "rol met deployrechten" terloops. Bewaar de volledige uitwerking (IT users vs IAM) voor deel 8.</w:t>
      </w:r>
    </w:p>
    <w:p>
      <w:pPr>
        <w:pStyle w:val="Heading2"/>
      </w:pPr>
      <w:r>
        <w:rPr>
          <w:color w:val="14213D"/>
        </w:rPr>
        <w:t>Veelgestelde vragen</w:t>
      </w:r>
    </w:p>
    <w:p>
      <w:r>
        <w:rPr>
          <w:b/>
        </w:rPr>
        <w:t>"Waarom heeft O11 een apart beheerportaal en ODC niet?"</w:t>
      </w:r>
    </w:p>
    <w:p>
      <w:r>
        <w:t>Nuanceer: ODC heeft ook een apart beheerdomein (de Portal), maar de integratie met de ontwikkelomgeving is dichter. Het is geen afwezigheid van beheer, maar een andere indeling ervan.</w:t>
      </w:r>
    </w:p>
    <w:p>
      <w:r>
        <w:rPr>
          <w:b/>
        </w:rPr>
        <w:t>"Kunnen we LifeTime ook voor ODC-apps gebruiken?"</w:t>
      </w:r>
    </w:p>
    <w:p>
      <w:r>
        <w:t>Buiten scope van dit deel — verwijs naar de Toolbijlagen (apart per platform) voor actuele, versiegebonden details hierover.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