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4213D"/>
        </w:rPr>
        <w:t>Docentenhandleiding Deel 3 — Datamodel</w:t>
      </w:r>
    </w:p>
    <w:p>
      <w:r>
        <w:rPr>
          <w:b/>
        </w:rPr>
        <w:t>Duur:</w:t>
      </w:r>
      <w:r>
        <w:t xml:space="preserve"> 1 dagdeel (± 3 uur)</w:t>
      </w:r>
    </w:p>
    <w:p>
      <w:r>
        <w:rPr>
          <w:b/>
        </w:rPr>
        <w:t>Vereiste voorkennis:</w:t>
      </w:r>
      <w:r>
        <w:t xml:space="preserve"> Deel 1-2</w:t>
      </w:r>
    </w:p>
    <w:p>
      <w:r>
        <w:rPr>
          <w:b/>
        </w:rPr>
        <w:t>Materialen:</w:t>
      </w:r>
      <w:r>
        <w:t xml:space="preserve"> Reader, Werkboek, Slidedeck, Service Studio en ODC Studio-toegang</w:t>
      </w:r>
    </w:p>
    <w:p>
      <w:pPr>
        <w:pStyle w:val="Heading2"/>
      </w:pPr>
      <w:r>
        <w:rPr>
          <w:color w:val="14213D"/>
        </w:rPr>
        <w:t>Lesdoelen</w:t>
      </w:r>
    </w:p>
    <w:p>
      <w:pPr>
        <w:pStyle w:val="ListNumber"/>
      </w:pPr>
      <w:r>
        <w:t>Entities en static entities correct toepassen, inclusief het onderscheid daartussen</w:t>
      </w:r>
    </w:p>
    <w:p>
      <w:pPr>
        <w:pStyle w:val="ListNumber"/>
      </w:pPr>
      <w:r>
        <w:t>Relaties modelleren, met bewuste keuze voor een tussenentity bij many-to-many</w:t>
      </w:r>
    </w:p>
    <w:p>
      <w:pPr>
        <w:pStyle w:val="ListNumber"/>
      </w:pPr>
      <w:r>
        <w:t>Begrijpen wat het platform automatisch genereert bij de fysieke database-mapping, en wat ontwerpkeuze blijft</w:t>
      </w:r>
    </w:p>
    <w:p>
      <w:pPr>
        <w:pStyle w:val="Heading2"/>
      </w:pPr>
      <w:r>
        <w:rPr>
          <w:color w:val="14213D"/>
        </w:rPr>
        <w:t>Tijdsindeling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Tijd</w:t>
            </w:r>
          </w:p>
        </w:tc>
        <w:tc>
          <w:tcPr>
            <w:tcW w:type="dxa" w:w="4320"/>
          </w:tcPr>
          <w:p>
            <w:r>
              <w:rPr>
                <w:b/>
              </w:rPr>
              <w:t>Onderdeel</w:t>
            </w:r>
          </w:p>
        </w:tc>
      </w:tr>
      <w:tr>
        <w:tc>
          <w:tcPr>
            <w:tcW w:type="dxa" w:w="4320"/>
          </w:tcPr>
          <w:p>
            <w:r>
              <w:t>0:00–0:15</w:t>
            </w:r>
          </w:p>
        </w:tc>
        <w:tc>
          <w:tcPr>
            <w:tcW w:type="dxa" w:w="4320"/>
          </w:tcPr>
          <w:p>
            <w:r>
              <w:t>Terugblik deel 1-2, intro datamodel</w:t>
            </w:r>
          </w:p>
        </w:tc>
      </w:tr>
      <w:tr>
        <w:tc>
          <w:tcPr>
            <w:tcW w:type="dxa" w:w="4320"/>
          </w:tcPr>
          <w:p>
            <w:r>
              <w:t>0:15–0:45</w:t>
            </w:r>
          </w:p>
        </w:tc>
        <w:tc>
          <w:tcPr>
            <w:tcW w:type="dxa" w:w="4320"/>
          </w:tcPr>
          <w:p>
            <w:r>
              <w:t>Reader 3.1–3.2, discussie type-veiligheid static entities</w:t>
            </w:r>
          </w:p>
        </w:tc>
      </w:tr>
      <w:tr>
        <w:tc>
          <w:tcPr>
            <w:tcW w:type="dxa" w:w="4320"/>
          </w:tcPr>
          <w:p>
            <w:r>
              <w:t>0:45–1:15</w:t>
            </w:r>
          </w:p>
        </w:tc>
        <w:tc>
          <w:tcPr>
            <w:tcW w:type="dxa" w:w="4320"/>
          </w:tcPr>
          <w:p>
            <w:r>
              <w:t>Opdracht 3.1, nabespreking</w:t>
            </w:r>
          </w:p>
        </w:tc>
      </w:tr>
      <w:tr>
        <w:tc>
          <w:tcPr>
            <w:tcW w:type="dxa" w:w="4320"/>
          </w:tcPr>
          <w:p>
            <w:r>
              <w:t>1:15–1:30</w:t>
            </w:r>
          </w:p>
        </w:tc>
        <w:tc>
          <w:tcPr>
            <w:tcW w:type="dxa" w:w="4320"/>
          </w:tcPr>
          <w:p>
            <w:r>
              <w:t>Pauze</w:t>
            </w:r>
          </w:p>
        </w:tc>
      </w:tr>
      <w:tr>
        <w:tc>
          <w:tcPr>
            <w:tcW w:type="dxa" w:w="4320"/>
          </w:tcPr>
          <w:p>
            <w:r>
              <w:t>1:30–2:15</w:t>
            </w:r>
          </w:p>
        </w:tc>
        <w:tc>
          <w:tcPr>
            <w:tcW w:type="dxa" w:w="4320"/>
          </w:tcPr>
          <w:p>
            <w:r>
              <w:t>Baan A/B: datamodel bouwen</w:t>
            </w:r>
          </w:p>
        </w:tc>
      </w:tr>
      <w:tr>
        <w:tc>
          <w:tcPr>
            <w:tcW w:type="dxa" w:w="4320"/>
          </w:tcPr>
          <w:p>
            <w:r>
              <w:t>2:15–2:45</w:t>
            </w:r>
          </w:p>
        </w:tc>
        <w:tc>
          <w:tcPr>
            <w:tcW w:type="dxa" w:w="4320"/>
          </w:tcPr>
          <w:p>
            <w:r>
              <w:t>Reader 3.3–3.4, reflectieopdracht 3.2</w:t>
            </w:r>
          </w:p>
        </w:tc>
      </w:tr>
      <w:tr>
        <w:tc>
          <w:tcPr>
            <w:tcW w:type="dxa" w:w="4320"/>
          </w:tcPr>
          <w:p>
            <w:r>
              <w:t>2:45–3:00</w:t>
            </w:r>
          </w:p>
        </w:tc>
        <w:tc>
          <w:tcPr>
            <w:tcW w:type="dxa" w:w="4320"/>
          </w:tcPr>
          <w:p>
            <w:r>
              <w:t>Vooruitblik deel 4 (logica)</w:t>
            </w:r>
          </w:p>
        </w:tc>
      </w:tr>
    </w:tbl>
    <w:p/>
    <w:p>
      <w:pPr>
        <w:pStyle w:val="Heading2"/>
      </w:pPr>
      <w:r>
        <w:rPr>
          <w:color w:val="14213D"/>
        </w:rPr>
        <w:t>Didactische aandachtspunten</w:t>
      </w:r>
    </w:p>
    <w:p>
      <w:r>
        <w:rPr>
          <w:b/>
        </w:rPr>
        <w:t>Static entities vaak onderschat door ervaren SQL-developers.</w:t>
      </w:r>
      <w:r>
        <w:t xml:space="preserve"> Deelnemers met een traditionele database-achtergrond zien static entities soms als overbodige overhead ten opzichte van een simpele lookup-tabel of enum. Benadruk het type-veiligheidsargument concreet: laat zien hoe een static entity-waarde in een expressie wordt gerefereerd (met autocomplete, compile-time gecontroleerd) versus een losse tekstvergelijking.</w:t>
      </w:r>
    </w:p>
    <w:p>
      <w:r>
        <w:rPr>
          <w:b/>
        </w:rPr>
        <w:t>De many-to-many-valkuil is de kern van dit deel.</w:t>
      </w:r>
      <w:r>
        <w:t xml:space="preserve"> Besteed hier bewust tijd aan — dit is een fout die deelnemers in hun eigen werk het vaakst maken en die pas veel later, bij uitbreiding van de applicatie, pijn doet. Laat het "wat als"-scenario expliciet zien: wat als Meridiaan later wil bijhouden wíé een document aan een melding koppelde? Zonder tussenentity is dat een migratie; met tussenentity een simpel extra attribuut.</w:t>
      </w:r>
    </w:p>
    <w:p>
      <w:r>
        <w:rPr>
          <w:b/>
        </w:rPr>
        <w:t>Baan A/B hier vooral gericht op tempo, niet op diepgang.</w:t>
      </w:r>
      <w:r>
        <w:t xml:space="preserve"> Het datamodel van Verzuimmeldingen is bewust eenvoudig — het doel is vlot twee keer hetzelfde model bouwen en zo de spierbeweging inslijpen, niet een uitputtende datamodelleeroefening.</w:t>
      </w:r>
    </w:p>
    <w:p>
      <w:pPr>
        <w:pStyle w:val="Heading2"/>
      </w:pPr>
      <w:r>
        <w:rPr>
          <w:color w:val="14213D"/>
        </w:rPr>
        <w:t>Veelgestelde vragen</w:t>
      </w:r>
    </w:p>
    <w:p>
      <w:r>
        <w:rPr>
          <w:b/>
        </w:rPr>
        <w:t>"Kan ik in ODC ook rechtstreeks op de database inloggen zoals bij O11?"</w:t>
      </w:r>
    </w:p>
    <w:p>
      <w:r>
        <w:t>Kort en feitelijk beantwoorden zoals in de reader: ODC richt zich primair op ontsluiting via de entity-laag of integraties, in tegenstelling tot de vaak toegestane directe databasetoegang bij O11. Actuele, versiegebonden details horen in de Toolbijlagen, niet hier.</w:t>
      </w:r>
    </w:p>
    <w:p>
      <w:r>
        <w:rPr>
          <w:b/>
        </w:rPr>
        <w:t>"Waarom krijgt elke entity automatisch een Id, kan ik die niet zelf een andere naam geven?"</w:t>
      </w:r>
    </w:p>
    <w:p>
      <w:r>
        <w:t>Nee — dit is platformgedrag in beide omgevingen. Leg uit dat dit consistentie waarborgt over alle entities in een landschap heen, wat later (deel 13, datamodellering op schaal) relevant wordt bij integratie tussen modules.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