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4 — Logica</w:t>
      </w:r>
    </w:p>
    <w:p>
      <w:r>
        <w:rPr>
          <w:b/>
        </w:rPr>
        <w:t>Duur:</w:t>
      </w:r>
      <w:r>
        <w:t xml:space="preserve"> 1 dagdeel (± 3 uur)</w:t>
      </w:r>
    </w:p>
    <w:p>
      <w:r>
        <w:rPr>
          <w:b/>
        </w:rPr>
        <w:t>Vereiste voorkennis:</w:t>
      </w:r>
      <w:r>
        <w:t xml:space="preserve"> Deel 1-3</w:t>
      </w:r>
    </w:p>
    <w:p>
      <w:r>
        <w:rPr>
          <w:b/>
        </w:rPr>
        <w:t>Materialen:</w:t>
      </w:r>
      <w:r>
        <w:t xml:space="preserve"> Reader, Werkboek, Slidedeck, Service Studio en ODC Studio-toegang</w:t>
      </w:r>
    </w:p>
    <w:p>
      <w:pPr>
        <w:pStyle w:val="Heading2"/>
      </w:pPr>
      <w:r>
        <w:rPr>
          <w:color w:val="14213D"/>
        </w:rPr>
        <w:t>Lesdoelen</w:t>
      </w:r>
    </w:p>
    <w:p>
      <w:pPr>
        <w:pStyle w:val="ListNumber"/>
      </w:pPr>
      <w:r>
        <w:t>Server actions en client actions correct scheiden op basis van waar de logica hoort</w:t>
      </w:r>
    </w:p>
    <w:p>
      <w:pPr>
        <w:pStyle w:val="ListNumber"/>
      </w:pPr>
      <w:r>
        <w:t>Een flow bouwen met conditie, exception-afhandeling en een schrijfactie</w:t>
      </w:r>
    </w:p>
    <w:p>
      <w:pPr>
        <w:pStyle w:val="ListNumber"/>
      </w:pPr>
      <w:r>
        <w:t>De debugger gebruiken om een flow stap voor stap te doorlopen</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deel 1-3, intro logica</w:t>
            </w:r>
          </w:p>
        </w:tc>
      </w:tr>
      <w:tr>
        <w:tc>
          <w:tcPr>
            <w:tcW w:type="dxa" w:w="4320"/>
          </w:tcPr>
          <w:p>
            <w:r>
              <w:t>0:15–0:45</w:t>
            </w:r>
          </w:p>
        </w:tc>
        <w:tc>
          <w:tcPr>
            <w:tcW w:type="dxa" w:w="4320"/>
          </w:tcPr>
          <w:p>
            <w:r>
              <w:t>Reader 4.1–4.2, discussie server vs client</w:t>
            </w:r>
          </w:p>
        </w:tc>
      </w:tr>
      <w:tr>
        <w:tc>
          <w:tcPr>
            <w:tcW w:type="dxa" w:w="4320"/>
          </w:tcPr>
          <w:p>
            <w:r>
              <w:t>0:45–1:15</w:t>
            </w:r>
          </w:p>
        </w:tc>
        <w:tc>
          <w:tcPr>
            <w:tcW w:type="dxa" w:w="4320"/>
          </w:tcPr>
          <w:p>
            <w:r>
              <w:t>Opdracht 4.1, nabespreking</w:t>
            </w:r>
          </w:p>
        </w:tc>
      </w:tr>
      <w:tr>
        <w:tc>
          <w:tcPr>
            <w:tcW w:type="dxa" w:w="4320"/>
          </w:tcPr>
          <w:p>
            <w:r>
              <w:t>1:15–1:30</w:t>
            </w:r>
          </w:p>
        </w:tc>
        <w:tc>
          <w:tcPr>
            <w:tcW w:type="dxa" w:w="4320"/>
          </w:tcPr>
          <w:p>
            <w:r>
              <w:t>Pauze</w:t>
            </w:r>
          </w:p>
        </w:tc>
      </w:tr>
      <w:tr>
        <w:tc>
          <w:tcPr>
            <w:tcW w:type="dxa" w:w="4320"/>
          </w:tcPr>
          <w:p>
            <w:r>
              <w:t>1:30–2:15</w:t>
            </w:r>
          </w:p>
        </w:tc>
        <w:tc>
          <w:tcPr>
            <w:tcW w:type="dxa" w:w="4320"/>
          </w:tcPr>
          <w:p>
            <w:r>
              <w:t>Baan A/B: AanmaakMelding bouwen + debuggen</w:t>
            </w:r>
          </w:p>
        </w:tc>
      </w:tr>
      <w:tr>
        <w:tc>
          <w:tcPr>
            <w:tcW w:type="dxa" w:w="4320"/>
          </w:tcPr>
          <w:p>
            <w:r>
              <w:t>2:15–2:45</w:t>
            </w:r>
          </w:p>
        </w:tc>
        <w:tc>
          <w:tcPr>
            <w:tcW w:type="dxa" w:w="4320"/>
          </w:tcPr>
          <w:p>
            <w:r>
              <w:t>Reader 4.3–4.4 verdieping, reflectieopdracht 4.2</w:t>
            </w:r>
          </w:p>
        </w:tc>
      </w:tr>
      <w:tr>
        <w:tc>
          <w:tcPr>
            <w:tcW w:type="dxa" w:w="4320"/>
          </w:tcPr>
          <w:p>
            <w:r>
              <w:t>2:45–3:00</w:t>
            </w:r>
          </w:p>
        </w:tc>
        <w:tc>
          <w:tcPr>
            <w:tcW w:type="dxa" w:w="4320"/>
          </w:tcPr>
          <w:p>
            <w:r>
              <w:t>Vooruitblik deel 5 (interface)</w:t>
            </w:r>
          </w:p>
        </w:tc>
      </w:tr>
    </w:tbl>
    <w:p/>
    <w:p>
      <w:pPr>
        <w:pStyle w:val="Heading2"/>
      </w:pPr>
      <w:r>
        <w:rPr>
          <w:color w:val="14213D"/>
        </w:rPr>
        <w:t>Didactische aandachtspunten</w:t>
      </w:r>
    </w:p>
    <w:p>
      <w:r>
        <w:rPr>
          <w:b/>
        </w:rPr>
        <w:t>Opdracht 4.1c is de meest onderschatte vraag van dit deel.</w:t>
      </w:r>
      <w:r>
        <w:t xml:space="preserve"> Deelnemers redeneren vaak "een datumcheck lijkt op client-validatie" en kiezen fout. Gebruik dit bewust als leermoment over vertrouwen in clientzijdige data — een thema dat in deel 17 (beveiliging) veel breder wordt uitgewerkt. Hier hoeft het nog niet uitputtend, alleen het principe moet landen.</w:t>
      </w:r>
    </w:p>
    <w:p>
      <w:r>
        <w:rPr>
          <w:b/>
        </w:rPr>
        <w:t>De debugger-oefening (4.A/4.B) is het meest tastbare moment van het deel — geef er ruim de tijd voor.</w:t>
      </w:r>
      <w:r>
        <w:t xml:space="preserve"> Laat deelnemers zelf een breakpoint zetten en de flow met een foutieve invoer doorlopen, in plaats van dit voor te doen. Het "aha"-moment zit in het zelf zien springen van de conditie naar de exception-tak.</w:t>
      </w:r>
    </w:p>
    <w:p>
      <w:r>
        <w:rPr>
          <w:b/>
        </w:rPr>
        <w:t>Vermijd hier al de volledige Exception-taxonomie.</w:t>
      </w:r>
      <w:r>
        <w:t xml:space="preserve"> OutSystems kent verschillende ingebouwde exception-types; dit deel behandelt bewust alleen het principe (Exception Handler vangt op, jij bepaalt de boodschap). Ga niet in op de volledige lijst — dat hoort niet in dit fundament-niveau.</w:t>
      </w:r>
    </w:p>
    <w:p>
      <w:pPr>
        <w:pStyle w:val="Heading2"/>
      </w:pPr>
      <w:r>
        <w:rPr>
          <w:color w:val="14213D"/>
        </w:rPr>
        <w:t>Veelgestelde vragen</w:t>
      </w:r>
    </w:p>
    <w:p>
      <w:r>
        <w:rPr>
          <w:b/>
        </w:rPr>
        <w:t>"Kan een client action ook data uit de database ophalen?"</w:t>
      </w:r>
    </w:p>
    <w:p>
      <w:r>
        <w:t>Niet direct — een client action kan een server action aanroepen die dat wel doet. Leg het onderscheid dus niet als "client actions kunnen geen data zien" maar als "client actions hebben geen directe databasetoegang, ze moeten via een server action."</w:t>
      </w:r>
    </w:p>
    <w:p>
      <w:r>
        <w:rPr>
          <w:b/>
        </w:rPr>
        <w:t>"Waarom niet gewoon overal server actions gebruiken, is dat niet simpeler?"</w:t>
      </w:r>
    </w:p>
    <w:p>
      <w:r>
        <w:t>Leg de prestatie-implicatie uit: elke server-aanroep kost een netwerkomweg. Voor simpele, directe feedback (zoals een verplicht-veldcheck) is dat onnodig vertragend voor de gebruiker. Dit principe wordt in deel 14 (performance) kwantitatief uitgewerkt.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