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Docentenhandleiding Deel 5 — Interface, screen lifecycle en navigatie</w:t>
      </w:r>
    </w:p>
    <w:p>
      <w:r>
        <w:rPr>
          <w:b/>
        </w:rPr>
        <w:t>Duur:</w:t>
      </w:r>
      <w:r>
        <w:t xml:space="preserve"> 1 dagdeel (± 3 uur)</w:t>
      </w:r>
    </w:p>
    <w:p>
      <w:r>
        <w:rPr>
          <w:b/>
        </w:rPr>
        <w:t>Vereiste voorkennis:</w:t>
      </w:r>
      <w:r>
        <w:t xml:space="preserve"> Deel 1-4</w:t>
      </w:r>
    </w:p>
    <w:p>
      <w:r>
        <w:rPr>
          <w:b/>
        </w:rPr>
        <w:t>Materialen:</w:t>
      </w:r>
      <w:r>
        <w:t xml:space="preserve"> Reader, Werkboek, Slidedeck, Service Studio en ODC Studio-toegang</w:t>
      </w:r>
    </w:p>
    <w:p>
      <w:pPr>
        <w:pStyle w:val="Heading2"/>
      </w:pPr>
      <w:r>
        <w:rPr>
          <w:color w:val="14213D"/>
        </w:rPr>
        <w:t>Lesdoelen</w:t>
      </w:r>
    </w:p>
    <w:p>
      <w:pPr>
        <w:pStyle w:val="ListNumber"/>
      </w:pPr>
      <w:r>
        <w:t>Onderscheid maken tussen screens en blocks, en herkennen wanneer een block nodig is</w:t>
      </w:r>
    </w:p>
    <w:p>
      <w:pPr>
        <w:pStyle w:val="ListNumber"/>
      </w:pPr>
      <w:r>
        <w:t>De screen lifecycle correct toepassen, met dataophaling op het juiste moment</w:t>
      </w:r>
    </w:p>
    <w:p>
      <w:pPr>
        <w:pStyle w:val="ListNumber"/>
      </w:pPr>
      <w:r>
        <w:t>Navigeren tussen schermen met strikt getypeerde parameters</w:t>
      </w:r>
    </w:p>
    <w:p>
      <w:pPr>
        <w:pStyle w:val="ListNumber"/>
      </w:pPr>
      <w:r>
        <w:t>Het verschil tussen Traditional/Reactive (O11) en de standaard reactieve aanpak in ODC benoemen</w:t>
      </w:r>
    </w:p>
    <w:p>
      <w:pPr>
        <w:pStyle w:val="Heading2"/>
      </w:pPr>
      <w:r>
        <w:rPr>
          <w:color w:val="14213D"/>
        </w:rPr>
        <w:t>Tijdsindeling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Tijd</w:t>
            </w:r>
          </w:p>
        </w:tc>
        <w:tc>
          <w:tcPr>
            <w:tcW w:type="dxa" w:w="4320"/>
          </w:tcPr>
          <w:p>
            <w:r>
              <w:rPr>
                <w:b/>
              </w:rPr>
              <w:t>Onderdeel</w:t>
            </w:r>
          </w:p>
        </w:tc>
      </w:tr>
      <w:tr>
        <w:tc>
          <w:tcPr>
            <w:tcW w:type="dxa" w:w="4320"/>
          </w:tcPr>
          <w:p>
            <w:r>
              <w:t>0:00–0:15</w:t>
            </w:r>
          </w:p>
        </w:tc>
        <w:tc>
          <w:tcPr>
            <w:tcW w:type="dxa" w:w="4320"/>
          </w:tcPr>
          <w:p>
            <w:r>
              <w:t>Terugblik deel 1-4, intro interface-laag</w:t>
            </w:r>
          </w:p>
        </w:tc>
      </w:tr>
      <w:tr>
        <w:tc>
          <w:tcPr>
            <w:tcW w:type="dxa" w:w="4320"/>
          </w:tcPr>
          <w:p>
            <w:r>
              <w:t>0:15–0:45</w:t>
            </w:r>
          </w:p>
        </w:tc>
        <w:tc>
          <w:tcPr>
            <w:tcW w:type="dxa" w:w="4320"/>
          </w:tcPr>
          <w:p>
            <w:r>
              <w:t>Reader 5.1–5.2, discussie block-hergebruik</w:t>
            </w:r>
          </w:p>
        </w:tc>
      </w:tr>
      <w:tr>
        <w:tc>
          <w:tcPr>
            <w:tcW w:type="dxa" w:w="4320"/>
          </w:tcPr>
          <w:p>
            <w:r>
              <w:t>0:45–1:15</w:t>
            </w:r>
          </w:p>
        </w:tc>
        <w:tc>
          <w:tcPr>
            <w:tcW w:type="dxa" w:w="4320"/>
          </w:tcPr>
          <w:p>
            <w:r>
              <w:t>Opdracht 5.1, nabespreking</w:t>
            </w:r>
          </w:p>
        </w:tc>
      </w:tr>
      <w:tr>
        <w:tc>
          <w:tcPr>
            <w:tcW w:type="dxa" w:w="4320"/>
          </w:tcPr>
          <w:p>
            <w:r>
              <w:t>1:15–1:30</w:t>
            </w:r>
          </w:p>
        </w:tc>
        <w:tc>
          <w:tcPr>
            <w:tcW w:type="dxa" w:w="4320"/>
          </w:tcPr>
          <w:p>
            <w:r>
              <w:t>Pauze</w:t>
            </w:r>
          </w:p>
        </w:tc>
      </w:tr>
      <w:tr>
        <w:tc>
          <w:tcPr>
            <w:tcW w:type="dxa" w:w="4320"/>
          </w:tcPr>
          <w:p>
            <w:r>
              <w:t>1:30–2:15</w:t>
            </w:r>
          </w:p>
        </w:tc>
        <w:tc>
          <w:tcPr>
            <w:tcW w:type="dxa" w:w="4320"/>
          </w:tcPr>
          <w:p>
            <w:r>
              <w:t>Baan A/B: schermen en block bouwen</w:t>
            </w:r>
          </w:p>
        </w:tc>
      </w:tr>
      <w:tr>
        <w:tc>
          <w:tcPr>
            <w:tcW w:type="dxa" w:w="4320"/>
          </w:tcPr>
          <w:p>
            <w:r>
              <w:t>2:15–2:45</w:t>
            </w:r>
          </w:p>
        </w:tc>
        <w:tc>
          <w:tcPr>
            <w:tcW w:type="dxa" w:w="4320"/>
          </w:tcPr>
          <w:p>
            <w:r>
              <w:t>Reader 5.3–5.4, reflectieopdracht 5.2</w:t>
            </w:r>
          </w:p>
        </w:tc>
      </w:tr>
      <w:tr>
        <w:tc>
          <w:tcPr>
            <w:tcW w:type="dxa" w:w="4320"/>
          </w:tcPr>
          <w:p>
            <w:r>
              <w:t>2:45–3:00</w:t>
            </w:r>
          </w:p>
        </w:tc>
        <w:tc>
          <w:tcPr>
            <w:tcW w:type="dxa" w:w="4320"/>
          </w:tcPr>
          <w:p>
            <w:r>
              <w:t>Vooruitblik deel 6 (aggregates en data ophalen)</w:t>
            </w:r>
          </w:p>
        </w:tc>
      </w:tr>
    </w:tbl>
    <w:p/>
    <w:p>
      <w:pPr>
        <w:pStyle w:val="Heading2"/>
      </w:pPr>
      <w:r>
        <w:rPr>
          <w:color w:val="14213D"/>
        </w:rPr>
        <w:t>Didactische aandachtspunten</w:t>
      </w:r>
    </w:p>
    <w:p>
      <w:r>
        <w:rPr>
          <w:b/>
        </w:rPr>
        <w:t>De block-oefening is het beste moment om DRY tastbaar te maken.</w:t>
      </w:r>
      <w:r>
        <w:t xml:space="preserve"> Laat deelnemers na het bouwen van </w:t>
      </w:r>
      <w:r>
        <w:rPr>
          <w:rFonts w:ascii="Consolas" w:hAnsi="Consolas"/>
        </w:rPr>
        <w:t>StatusBadge</w:t>
      </w:r>
      <w:r>
        <w:t xml:space="preserve"> bewust de kleurlogica één keer wijzigen en zelf zien dat dit op beide schermen doorwerkt — dit landt sterker dan het alleen uit te leggen.</w:t>
      </w:r>
    </w:p>
    <w:p>
      <w:r>
        <w:rPr>
          <w:b/>
        </w:rPr>
        <w:t>OnInitialize versus klik-events is een terugkerende beginnersfout — besteed hier extra tijd aan.</w:t>
      </w:r>
      <w:r>
        <w:t xml:space="preserve"> Reflectieopdracht 5.2 is bewust zo geformuleerd dat het voorstel van "de collega" plausibel klinkt (meer controle voor de gebruiker), zodat deelnemers eerst zelf het probleem moeten doorzien voordat de uitwerking het bevestigt.</w:t>
      </w:r>
    </w:p>
    <w:p>
      <w:r>
        <w:rPr>
          <w:b/>
        </w:rPr>
        <w:t>Traditional Web (O11) hier niet uitgebreid behandelen.</w:t>
      </w:r>
      <w:r>
        <w:t xml:space="preserve"> De cursus kiest bewust voor Reactive Web in beide platformen om een eerlijke vergelijking te houden. Als deelnemers vragen naar Traditional Web, kun je kort erkennen dat het bestaat in O11 (voor legacy-toepassingen) maar buiten de scope van deze cursus valt — verwijs naar de Toolbijlage O11 voor wie dit in de praktijk nodig heeft.</w:t>
      </w:r>
    </w:p>
    <w:p>
      <w:pPr>
        <w:pStyle w:val="Heading2"/>
      </w:pPr>
      <w:r>
        <w:rPr>
          <w:color w:val="14213D"/>
        </w:rPr>
        <w:t>Veelgestelde vragen</w:t>
      </w:r>
    </w:p>
    <w:p>
      <w:r>
        <w:rPr>
          <w:b/>
        </w:rPr>
        <w:t>"Waarom kan ik in ODC niet kiezen voor Traditional Web?"</w:t>
      </w:r>
    </w:p>
    <w:p>
      <w:r>
        <w:t>ODC is vanaf de grond af gebouwd als reactief platform — er is geen Traditional Web-optie, in tegenstelling tot O11 waar dat een historische keuze is die nog bestaat vanwege oudere applicaties. Dit is een bewuste platformkeuze van OutSystems, geen tijdelijke beperking.</w:t>
      </w:r>
    </w:p>
    <w:p>
      <w:r>
        <w:rPr>
          <w:b/>
        </w:rPr>
        <w:t>"Hoe weet het platform welke URL een scherm krijgt?"</w:t>
      </w:r>
    </w:p>
    <w:p>
      <w:r>
        <w:t>Leg uit dat dit automatisch wordt afgeleid uit de modulenaam en schermnaam, en dat dit in de praktijk zelden een aandachtspunt is op dit niveau — pas bij SEO-gevoelige publieke applicaties (buiten scope van Verzuimmeldingen, een interne app) wordt dit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