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Docentenhandleiding Deel 6 — Aggregates en data ophalen</w:t>
      </w:r>
    </w:p>
    <w:p>
      <w:r>
        <w:rPr>
          <w:b/>
        </w:rPr>
        <w:t>Duur:</w:t>
      </w:r>
      <w:r>
        <w:t xml:space="preserve"> 1 dagdeel (± 3 uur)</w:t>
      </w:r>
    </w:p>
    <w:p>
      <w:r>
        <w:rPr>
          <w:b/>
        </w:rPr>
        <w:t>Vereiste voorkennis:</w:t>
      </w:r>
      <w:r>
        <w:t xml:space="preserve"> Deel 1-5</w:t>
      </w:r>
    </w:p>
    <w:p>
      <w:r>
        <w:rPr>
          <w:b/>
        </w:rPr>
        <w:t>Materialen:</w:t>
      </w:r>
      <w:r>
        <w:t xml:space="preserve"> Reader, Werkboek, Slidedeck, Service Studio en ODC Studio-toegang</w:t>
      </w:r>
    </w:p>
    <w:p>
      <w:pPr>
        <w:pStyle w:val="Heading2"/>
      </w:pPr>
      <w:r>
        <w:rPr>
          <w:color w:val="14213D"/>
        </w:rPr>
        <w:t>Lesdoelen</w:t>
      </w:r>
    </w:p>
    <w:p>
      <w:pPr>
        <w:pStyle w:val="ListNumber"/>
      </w:pPr>
      <w:r>
        <w:t>Een Aggregate correct configureren met filters, sorteringen, joins en paginering</w:t>
      </w:r>
    </w:p>
    <w:p>
      <w:pPr>
        <w:pStyle w:val="ListNumber"/>
      </w:pPr>
      <w:r>
        <w:t>Herkennen wanneer Advanced SQL wél en niet nodig is</w:t>
      </w:r>
    </w:p>
    <w:p>
      <w:pPr>
        <w:pStyle w:val="ListNumber"/>
      </w:pPr>
      <w:r>
        <w:t>Paginering als standaardpraktijk toepassen, niet als reactieve maatregel</w:t>
      </w:r>
    </w:p>
    <w:p>
      <w:pPr>
        <w:pStyle w:val="Heading2"/>
      </w:pPr>
      <w:r>
        <w:rPr>
          <w:color w:val="14213D"/>
        </w:rPr>
        <w:t>Tijdsindeling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Tijd</w:t>
            </w:r>
          </w:p>
        </w:tc>
        <w:tc>
          <w:tcPr>
            <w:tcW w:type="dxa" w:w="4320"/>
          </w:tcPr>
          <w:p>
            <w:r>
              <w:rPr>
                <w:b/>
              </w:rPr>
              <w:t>Onderdeel</w:t>
            </w:r>
          </w:p>
        </w:tc>
      </w:tr>
      <w:tr>
        <w:tc>
          <w:tcPr>
            <w:tcW w:type="dxa" w:w="4320"/>
          </w:tcPr>
          <w:p>
            <w:r>
              <w:t>0:00–0:15</w:t>
            </w:r>
          </w:p>
        </w:tc>
        <w:tc>
          <w:tcPr>
            <w:tcW w:type="dxa" w:w="4320"/>
          </w:tcPr>
          <w:p>
            <w:r>
              <w:t>Terugblik deel 1-5, intro aggregates</w:t>
            </w:r>
          </w:p>
        </w:tc>
      </w:tr>
      <w:tr>
        <w:tc>
          <w:tcPr>
            <w:tcW w:type="dxa" w:w="4320"/>
          </w:tcPr>
          <w:p>
            <w:r>
              <w:t>0:15–0:45</w:t>
            </w:r>
          </w:p>
        </w:tc>
        <w:tc>
          <w:tcPr>
            <w:tcW w:type="dxa" w:w="4320"/>
          </w:tcPr>
          <w:p>
            <w:r>
              <w:t>Reader 6.1–6.2, discussie wanneer Advanced SQL</w:t>
            </w:r>
          </w:p>
        </w:tc>
      </w:tr>
      <w:tr>
        <w:tc>
          <w:tcPr>
            <w:tcW w:type="dxa" w:w="4320"/>
          </w:tcPr>
          <w:p>
            <w:r>
              <w:t>0:45–1:15</w:t>
            </w:r>
          </w:p>
        </w:tc>
        <w:tc>
          <w:tcPr>
            <w:tcW w:type="dxa" w:w="4320"/>
          </w:tcPr>
          <w:p>
            <w:r>
              <w:t>Opdracht 6.1, nabespreking</w:t>
            </w:r>
          </w:p>
        </w:tc>
      </w:tr>
      <w:tr>
        <w:tc>
          <w:tcPr>
            <w:tcW w:type="dxa" w:w="4320"/>
          </w:tcPr>
          <w:p>
            <w:r>
              <w:t>1:15–1:30</w:t>
            </w:r>
          </w:p>
        </w:tc>
        <w:tc>
          <w:tcPr>
            <w:tcW w:type="dxa" w:w="4320"/>
          </w:tcPr>
          <w:p>
            <w:r>
              <w:t>Pauze</w:t>
            </w:r>
          </w:p>
        </w:tc>
      </w:tr>
      <w:tr>
        <w:tc>
          <w:tcPr>
            <w:tcW w:type="dxa" w:w="4320"/>
          </w:tcPr>
          <w:p>
            <w:r>
              <w:t>1:30–2:15</w:t>
            </w:r>
          </w:p>
        </w:tc>
        <w:tc>
          <w:tcPr>
            <w:tcW w:type="dxa" w:w="4320"/>
          </w:tcPr>
          <w:p>
            <w:r>
              <w:t>Baan A/B: Aggregate bouwen met paginering</w:t>
            </w:r>
          </w:p>
        </w:tc>
      </w:tr>
      <w:tr>
        <w:tc>
          <w:tcPr>
            <w:tcW w:type="dxa" w:w="4320"/>
          </w:tcPr>
          <w:p>
            <w:r>
              <w:t>2:15–2:45</w:t>
            </w:r>
          </w:p>
        </w:tc>
        <w:tc>
          <w:tcPr>
            <w:tcW w:type="dxa" w:w="4320"/>
          </w:tcPr>
          <w:p>
            <w:r>
              <w:t>Reader 6.3–6.4, reflectieopdracht 6.2</w:t>
            </w:r>
          </w:p>
        </w:tc>
      </w:tr>
      <w:tr>
        <w:tc>
          <w:tcPr>
            <w:tcW w:type="dxa" w:w="4320"/>
          </w:tcPr>
          <w:p>
            <w:r>
              <w:t>2:45–3:00</w:t>
            </w:r>
          </w:p>
        </w:tc>
        <w:tc>
          <w:tcPr>
            <w:tcW w:type="dxa" w:w="4320"/>
          </w:tcPr>
          <w:p>
            <w:r>
              <w:t>Vooruitblik deel 7 (schrijfkant en validatie)</w:t>
            </w:r>
          </w:p>
        </w:tc>
      </w:tr>
    </w:tbl>
    <w:p/>
    <w:p>
      <w:pPr>
        <w:pStyle w:val="Heading2"/>
      </w:pPr>
      <w:r>
        <w:rPr>
          <w:color w:val="14213D"/>
        </w:rPr>
        <w:t>Didactische aandachtspunten</w:t>
      </w:r>
    </w:p>
    <w:p>
      <w:r>
        <w:rPr>
          <w:b/>
        </w:rPr>
        <w:t>Laat deelnemers zelf de gegenereerde SQL-preview lezen, ook als ze SQL niet vloeiend beheersen.</w:t>
      </w:r>
      <w:r>
        <w:t xml:space="preserve"> Dit demystificeert de Aggregate: het is geen black box, maar een generator van leesbare, optimale queries. Dit weerlegt meteen het misverstand dat low-code "je afschermt van wat er echt gebeurt."</w:t>
      </w:r>
    </w:p>
    <w:p>
      <w:r>
        <w:rPr>
          <w:b/>
        </w:rPr>
        <w:t>Opdracht 6.1b is bewust een grensgeval — gebruik het om het beslisproces te tonen, niet om een definitief antwoord te geven.</w:t>
      </w:r>
      <w:r>
        <w:t xml:space="preserve"> Belangrijker dan "Advanced SQL, want complex" is het denkproces: eerst proberen met een Aggregate, concreet vaststellen waar het vastloopt, en dan pas overstappen.</w:t>
      </w:r>
    </w:p>
    <w:p>
      <w:r>
        <w:rPr>
          <w:b/>
        </w:rPr>
        <w:t>De paginering-fout in Opdracht 6.A (sortering vergeten) treedt vaak spontaan op — laat het gebeuren in plaats van het vooraf te waarschuwen.</w:t>
      </w:r>
      <w:r>
        <w:t xml:space="preserve"> Zodra een deelnemer het zelf tegenkomt (inconsistente volgorde bij doorbladeren), is de les over "sorteer altijd op een uniek, stabiel veld bij paginering" veel overtuigender dan wanneer je het alleen vertelt.</w:t>
      </w:r>
    </w:p>
    <w:p>
      <w:pPr>
        <w:pStyle w:val="Heading2"/>
      </w:pPr>
      <w:r>
        <w:rPr>
          <w:color w:val="14213D"/>
        </w:rPr>
        <w:t>Veelgestelde vragen</w:t>
      </w:r>
    </w:p>
    <w:p>
      <w:r>
        <w:rPr>
          <w:b/>
        </w:rPr>
        <w:t>"Kan een Aggregate ook data uit een externe database ophalen?"</w:t>
      </w:r>
    </w:p>
    <w:p>
      <w:r>
        <w:t>In O11: ja, mits een externe verbinding is geconfigureerd (zie deel 3). In ODC: de reikwijdte is primair de platformbeheerde database; externe data verloopt doorgaans via integraties (deel 9). Verwijs voor actuele details naar de Toolbijlagen.</w:t>
      </w:r>
    </w:p>
    <w:p>
      <w:r>
        <w:rPr>
          <w:b/>
        </w:rPr>
        <w:t>"Waarom zou ik ooit Advanced SQL gebruiken als de Aggregate zoveel dekt?"</w:t>
      </w:r>
    </w:p>
    <w:p>
      <w:r>
        <w:t>Erken dat er legitieme gevallen zijn (complexe aggregatiefuncties, performance-kritische queries die je zelf wilt sturen) — het punt van dit deel is niet "nooit Advanced SQL," maar "niet als eerste keuze."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