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7 — Schrijfkant, formulieren en validatie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1-6</w:t>
      </w:r>
    </w:p>
    <w:p>
      <w:r>
        <w:rPr>
          <w:b/>
        </w:rPr>
        <w:t>Materialen:</w:t>
      </w:r>
      <w:r>
        <w:t xml:space="preserve"> Reader, Werkboek, Slidedeck, Service Studio en ODC Studio-toegang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Een formulier bouwen met correct getypeerde widgets</w:t>
      </w:r>
    </w:p>
    <w:p>
      <w:pPr>
        <w:pStyle w:val="ListNumber"/>
      </w:pPr>
      <w:r>
        <w:t>Client- en server-validatie combineren, met begrip van waarom beide nodig zijn</w:t>
      </w:r>
    </w:p>
    <w:p>
      <w:pPr>
        <w:pStyle w:val="ListNumber"/>
      </w:pPr>
      <w:r>
        <w:t>Foutmeldingen en bevestigingen op de juiste manier aan de gebruiker tonen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1-6, intro schrijfkant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7.1–7.2, discussie waarom client-validatie nooit genoeg is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7.1,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MeldingInvoer bouwen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7.3–7.4, reflectieopdracht 7.2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8 (beveiliging basis)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Dit deel heeft het minste platformverschil van niveau 1 tot nu toe — benoem dat expliciet in plaats van het te laten voelen als een gemiste kans.</w:t>
      </w:r>
      <w:r>
        <w:t xml:space="preserve"> Zie het als een leermoment: niet elke laag van het platform verschilt evenveel tussen O11 en ODC, en dat is waardevolle informatie voor deelnemers die straks moeten inschatten waar migratie-inspanning wél en niet zit (vooruitwijzend naar deel 23).</w:t>
      </w:r>
    </w:p>
    <w:p>
      <w:r>
        <w:rPr>
          <w:b/>
        </w:rPr>
        <w:t>Opdracht 7.1b is een bewuste vooruitwijzing naar deel 8 — laat de discussie hier kort blijven.</w:t>
      </w:r>
      <w:r>
        <w:t xml:space="preserve"> Ga niet in op autorisatiemechanismen zelf (rollen, IAM); benoem alleen het principe dat dit soort controles altijd server-side hoort, en verwijs expliciet door.</w:t>
      </w:r>
    </w:p>
    <w:p>
      <w:r>
        <w:rPr>
          <w:b/>
        </w:rPr>
        <w:t>De Notification-bevestiging in Opdracht 7.A is een klein maar belangrijk detail om te controleren.</w:t>
      </w:r>
      <w:r>
        <w:t xml:space="preserve"> Deelnemers vergeten soms de navigatie terug naar het overzicht na een succesvolle submit, waardoor de gebruiker op een "dood" scherm blijft staan. Dit raakt aan de gebruikerservaring-principes uit deel 5.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"Is het niet overbodig om dezelfde check twee keer te programmeren (client én server)?"</w:t>
      </w:r>
    </w:p>
    <w:p>
      <w:r>
        <w:t>Nee — leg het onderscheid in doel uit: client-validatie is voor snelheid en gebruikerservaring, server-validatie is voor daadwerkelijke datakwaliteit en kan nooit vertrouwd worden weggelaten. Beide dienen een ander doel, ook al lijkt de logica hetzelfde.</w:t>
      </w:r>
    </w:p>
    <w:p>
      <w:r>
        <w:rPr>
          <w:b/>
        </w:rPr>
        <w:t>"Wat als de server-validatie iets anders zegt dan de client-validatie al toestond?"</w:t>
      </w:r>
    </w:p>
    <w:p>
      <w:r>
        <w:t>Dat kan gebeuren (bijvoorbeeld als data tussen het laden van het formulier en het versturen ervan is gewijzigd door iemand anders) — de server-foutmelding moet dan alsnog gebruikersvriendelijk worden getoond, net als bij de Exception Handler uit deel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