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9 — Integratie basis: REST en timers</w:t>
      </w:r>
    </w:p>
    <w:p>
      <w:pPr>
        <w:spacing w:before="80" w:after="80"/>
        <w:pBdr>
          <w:bottom w:val="single" w:sz="6" w:color="E9A13B"/>
        </w:pBdr>
      </w:pPr>
    </w:p>
    <w:p>
      <w:pPr>
        <w:pStyle w:val="Heading2"/>
      </w:pPr>
      <w:r>
        <w:rPr>
          <w:color w:val="14213D"/>
        </w:rPr>
        <w:t>Opdracht 9.1 — Consumeren, exposen of timer? (beide banen gezamenlijk)</w:t>
      </w:r>
    </w:p>
    <w:p>
      <w:r>
        <w:t>Bepaal per situatie welk mechanisme nodig is.</w:t>
      </w:r>
    </w:p>
    <w:p>
      <w:r>
        <w:rPr>
          <w:b/>
        </w:rPr>
        <w:t>a.</w:t>
      </w:r>
      <w:r>
        <w:t xml:space="preserve"> Verzuimmeldingen moet na het opslaan van een melding een mutatie registreren bij het Mutatieplatform.</w:t>
      </w:r>
    </w:p>
    <w:p>
      <w:r>
        <w:rPr>
          <w:b/>
        </w:rPr>
        <w:t>b.</w:t>
      </w:r>
      <w:r>
        <w:t xml:space="preserve"> Een toekomstig rapportagesysteem wil meldingdata uit Verzuimmeldingen kunnen ophalen.</w:t>
      </w:r>
    </w:p>
    <w:p>
      <w:r>
        <w:rPr>
          <w:b/>
        </w:rPr>
        <w:t>c.</w:t>
      </w:r>
      <w:r>
        <w:t xml:space="preserve"> Mislukte mutatie-registraties moeten elke nacht automatisch opnieuw worden geprobeerd.</w:t>
      </w:r>
    </w:p>
    <w:p>
      <w:pPr>
        <w:pStyle w:val="Heading3"/>
      </w:pPr>
      <w:r>
        <w:rPr>
          <w:color w:val="2563A8"/>
        </w:rPr>
        <w:t>Uitwerking 9.1</w:t>
      </w:r>
    </w:p>
    <w:p>
      <w:r>
        <w:rPr>
          <w:b/>
        </w:rPr>
        <w:t>a.</w:t>
      </w:r>
      <w:r>
        <w:t xml:space="preserve"> REST consumeren — Verzuimmeldingen roept de externe Mutatie-API aan.</w:t>
      </w:r>
    </w:p>
    <w:p>
      <w:r>
        <w:rPr>
          <w:b/>
        </w:rPr>
        <w:t>b.</w:t>
      </w:r>
      <w:r>
        <w:t xml:space="preserve"> REST exposen — Verzuimmeldingen wordt zelf de bron, andere systemen roepen háár aan.</w:t>
      </w:r>
    </w:p>
    <w:p>
      <w:r>
        <w:rPr>
          <w:b/>
        </w:rPr>
        <w:t>c.</w:t>
      </w:r>
      <w:r>
        <w:t xml:space="preserve"> Timer — een geplande, herhalende achtergrondtaak zonder gebruikersinteractie.</w:t>
      </w:r>
    </w:p>
    <w:p>
      <w:pPr>
        <w:spacing w:before="80" w:after="80"/>
        <w:pBdr>
          <w:bottom w:val="single" w:sz="6" w:color="E9A13B"/>
        </w:pBdr>
      </w:pPr>
    </w:p>
    <w:p>
      <w:pPr>
        <w:pStyle w:val="Heading2"/>
      </w:pPr>
      <w:r>
        <w:rPr>
          <w:color w:val="14213D"/>
        </w:rPr>
        <w:t>Baan A — OutSystems 11</w:t>
      </w:r>
    </w:p>
    <w:p>
      <w:pPr>
        <w:pStyle w:val="Heading3"/>
      </w:pPr>
      <w:r>
        <w:rPr>
          <w:color w:val="2563A8"/>
        </w:rPr>
        <w:t>Opdracht 9.A — Mutatie-API consumeren in Service Studio</w:t>
      </w:r>
    </w:p>
    <w:p>
      <w:r>
        <w:t xml:space="preserve">Importeer in </w:t>
      </w:r>
      <w:r>
        <w:rPr>
          <w:rFonts w:ascii="Consolas" w:hAnsi="Consolas"/>
        </w:rPr>
        <w:t>VerzuimO11</w:t>
      </w:r>
      <w:r>
        <w:t xml:space="preserve"> de (test-)specificatie van de Mutatie-API en breid </w:t>
      </w:r>
      <w:r>
        <w:rPr>
          <w:rFonts w:ascii="Consolas" w:hAnsi="Consolas"/>
        </w:rPr>
        <w:t>AanmaakMelding</w:t>
      </w:r>
      <w:r>
        <w:t xml:space="preserve"> uit met een aanroep na het succesvol wegschrijven van de melding. Vang een fout in de aanroep af met een Exception Handler die de status "nog te verwerken" zet in plaats van de hele actie te laten falen.</w:t>
      </w:r>
    </w:p>
    <w:p>
      <w:pPr>
        <w:pStyle w:val="Heading3"/>
      </w:pPr>
      <w:r>
        <w:rPr>
          <w:color w:val="2563A8"/>
        </w:rPr>
        <w:t>Uitwerking 9.A</w:t>
      </w:r>
    </w:p>
    <w:p>
      <w:r>
        <w:t xml:space="preserve">Na import genereert Service Studio automatisch de client-structuren en een aanroepbare actie met de juiste request/response-typen. In de flow van </w:t>
      </w:r>
      <w:r>
        <w:rPr>
          <w:rFonts w:ascii="Consolas" w:hAnsi="Consolas"/>
        </w:rPr>
        <w:t>AanmaakMelding</w:t>
      </w:r>
      <w:r>
        <w:t xml:space="preserve"> komt de REST-aanroep ná de Create Entity-stap, binnen een Exception Handler: bij falen wordt de melding alsnog opgeslagen (kernfunctionaliteit blijft werken), met een apart statusveld dat aangeeft dat de mutatie nog moet worden verwerkt. Dit is een concrete illustratie van "graceful degradation" — een deel van de functionaliteit blijft werken ook als een afhankelijkheid faalt.</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9.B — Mutatie-API consumeren in ODC Studio</w:t>
      </w:r>
    </w:p>
    <w:p>
      <w:r>
        <w:t xml:space="preserve">Herhaal Opdracht 9.A in </w:t>
      </w:r>
      <w:r>
        <w:rPr>
          <w:rFonts w:ascii="Consolas" w:hAnsi="Consolas"/>
        </w:rPr>
        <w:t>VerzuimODC</w:t>
      </w:r>
      <w:r>
        <w:t>. Bevestig dat het REST Consume-mechanisme functioneel identiek werkt.</w:t>
      </w:r>
    </w:p>
    <w:p>
      <w:pPr>
        <w:pStyle w:val="Heading3"/>
      </w:pPr>
      <w:r>
        <w:rPr>
          <w:color w:val="2563A8"/>
        </w:rPr>
        <w:t>Uitwerking 9.B</w:t>
      </w:r>
    </w:p>
    <w:p>
      <w:r>
        <w:t>Het importeren van de API-specificatie en de gegenereerde client-structuren zijn functioneel gelijk aan O11. Dit bevestigt de rode lijn van dit deel: integratiemechanismen (REST) zijn een van de meest platformonafhankelijke lagen van OutSystems, in tegenstelling tot bijvoorbeeld gebruikersbeheer (deel 8) — een nuttig contrast om expliciet te benoemen.</w:t>
      </w:r>
    </w:p>
    <w:p>
      <w:pPr>
        <w:spacing w:before="80" w:after="80"/>
        <w:pBdr>
          <w:bottom w:val="single" w:sz="6" w:color="E9A13B"/>
        </w:pBdr>
      </w:pPr>
    </w:p>
    <w:p>
      <w:pPr>
        <w:pStyle w:val="Heading2"/>
      </w:pPr>
      <w:r>
        <w:rPr>
          <w:color w:val="14213D"/>
        </w:rPr>
        <w:t>Reflectieopdracht 9.2 (beide banen gezamenlijk)</w:t>
      </w:r>
    </w:p>
    <w:p>
      <w:r>
        <w:t>Waarom is het een bewuste keuze om de melding wél op te slaan als de Mutatie-API-aanroep faalt, in plaats van de hele actie te laten mislukken?</w:t>
      </w:r>
    </w:p>
    <w:p>
      <w:pPr>
        <w:pStyle w:val="Heading3"/>
      </w:pPr>
      <w:r>
        <w:rPr>
          <w:color w:val="2563A8"/>
        </w:rPr>
        <w:t>Uitwerking 9.2</w:t>
      </w:r>
    </w:p>
    <w:p>
      <w:r>
        <w:t>Als de hele actie zou mislukken zodra de externe aanroep faalt, zou een tijdelijke storing in het Mutatieplatform de kernfunctionaliteit van Verzuimmeldingen blokkeren — een HR-medewerker zou zijn melding niet kunnen indienen om een reden die niets met zijn eigen invoer te maken heeft. Door de melding wél op te slaan en de mutatie-registratie apart, asynchroon af te handelen, blijft de primaire gebruikerswaarde behouden terwijl de afhankelijkheid met het Mutatieplatform losgekoppeld wordt van het directe gebruikerspad. Dit principe — kernfunctionaliteit ontkoppelen van niet-kritieke afhankelijkheden — is de basis van wat in deel 18 (asynchroon) volledig wordt uitgewerkt.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